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5FD5" w14:textId="3342E7BF" w:rsidR="00A47C0F" w:rsidRPr="00530F1B" w:rsidRDefault="00EF6793" w:rsidP="63C0AF30">
      <w:pPr>
        <w:pStyle w:val="NoSpacing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Int_W8OUeCxx"/>
      <w:r w:rsidRPr="63C0AF30">
        <w:rPr>
          <w:rFonts w:ascii="Arial" w:hAnsi="Arial" w:cs="Arial"/>
          <w:b/>
          <w:bCs/>
          <w:sz w:val="24"/>
          <w:szCs w:val="24"/>
          <w:u w:val="single"/>
        </w:rPr>
        <w:t xml:space="preserve">LEP – </w:t>
      </w:r>
      <w:proofErr w:type="spellStart"/>
      <w:r w:rsidRPr="63C0AF30">
        <w:rPr>
          <w:rFonts w:ascii="Arial" w:hAnsi="Arial" w:cs="Arial"/>
          <w:b/>
          <w:bCs/>
          <w:sz w:val="24"/>
          <w:szCs w:val="24"/>
          <w:u w:val="single"/>
        </w:rPr>
        <w:t>Samlesbury</w:t>
      </w:r>
      <w:proofErr w:type="spellEnd"/>
      <w:r w:rsidRPr="63C0AF3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E6D56" w:rsidRPr="63C0AF30">
        <w:rPr>
          <w:rFonts w:ascii="Arial" w:hAnsi="Arial" w:cs="Arial"/>
          <w:b/>
          <w:bCs/>
          <w:sz w:val="24"/>
          <w:szCs w:val="24"/>
          <w:u w:val="single"/>
        </w:rPr>
        <w:t xml:space="preserve">Aerospace </w:t>
      </w:r>
      <w:r w:rsidRPr="63C0AF30">
        <w:rPr>
          <w:rFonts w:ascii="Arial" w:hAnsi="Arial" w:cs="Arial"/>
          <w:b/>
          <w:bCs/>
          <w:sz w:val="24"/>
          <w:szCs w:val="24"/>
          <w:u w:val="single"/>
        </w:rPr>
        <w:t xml:space="preserve">EZ – Lead </w:t>
      </w:r>
      <w:r w:rsidR="004E6D56" w:rsidRPr="63C0AF30">
        <w:rPr>
          <w:rFonts w:ascii="Arial" w:hAnsi="Arial" w:cs="Arial"/>
          <w:b/>
          <w:bCs/>
          <w:sz w:val="24"/>
          <w:szCs w:val="24"/>
          <w:u w:val="single"/>
        </w:rPr>
        <w:t xml:space="preserve">Programme Manager - </w:t>
      </w:r>
      <w:r w:rsidRPr="63C0AF30">
        <w:rPr>
          <w:rFonts w:ascii="Arial" w:hAnsi="Arial" w:cs="Arial"/>
          <w:b/>
          <w:bCs/>
          <w:sz w:val="24"/>
          <w:szCs w:val="24"/>
          <w:u w:val="single"/>
        </w:rPr>
        <w:t>Chris Dyson</w:t>
      </w:r>
      <w:bookmarkEnd w:id="0"/>
    </w:p>
    <w:p w14:paraId="32AB4AC4" w14:textId="77777777" w:rsidR="00A47C0F" w:rsidRPr="00530F1B" w:rsidRDefault="00A47C0F" w:rsidP="008F63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060199E" w14:textId="77777777" w:rsidR="005E6646" w:rsidRPr="005A6458" w:rsidRDefault="00EF6793" w:rsidP="008F6380">
      <w:pPr>
        <w:spacing w:after="0"/>
        <w:jc w:val="both"/>
        <w:rPr>
          <w:rFonts w:ascii="Arial" w:hAnsi="Arial" w:cs="Arial"/>
          <w:b/>
          <w:u w:val="single"/>
        </w:rPr>
      </w:pPr>
      <w:r w:rsidRPr="005A6458">
        <w:rPr>
          <w:rFonts w:ascii="Arial" w:hAnsi="Arial" w:cs="Arial"/>
          <w:b/>
          <w:u w:val="single"/>
        </w:rPr>
        <w:t xml:space="preserve">Background </w:t>
      </w:r>
    </w:p>
    <w:p w14:paraId="31C3A920" w14:textId="77777777" w:rsidR="006D34BE" w:rsidRPr="005A6458" w:rsidRDefault="006D34BE" w:rsidP="008F6380">
      <w:pPr>
        <w:spacing w:after="0"/>
        <w:jc w:val="both"/>
        <w:rPr>
          <w:rFonts w:ascii="Arial" w:hAnsi="Arial" w:cs="Arial"/>
          <w:b/>
        </w:rPr>
      </w:pPr>
    </w:p>
    <w:p w14:paraId="4BEB4A86" w14:textId="340CC8D6" w:rsidR="00137765" w:rsidRPr="005A6458" w:rsidRDefault="00EF6793" w:rsidP="006A61BF">
      <w:pPr>
        <w:jc w:val="both"/>
        <w:rPr>
          <w:rFonts w:ascii="Arial" w:hAnsi="Arial" w:cs="Arial"/>
        </w:rPr>
      </w:pPr>
      <w:r w:rsidRPr="63C0AF30">
        <w:rPr>
          <w:rFonts w:ascii="Arial" w:hAnsi="Arial" w:cs="Arial"/>
        </w:rPr>
        <w:t xml:space="preserve">In April 2012, the Government awarded Enterprise Zone status to the Lancashire Enterprise Zone </w:t>
      </w:r>
      <w:r w:rsidR="00977C0D" w:rsidRPr="63C0AF30">
        <w:rPr>
          <w:rFonts w:ascii="Arial" w:hAnsi="Arial" w:cs="Arial"/>
        </w:rPr>
        <w:t xml:space="preserve">including </w:t>
      </w:r>
      <w:proofErr w:type="spellStart"/>
      <w:r w:rsidRPr="63C0AF30">
        <w:rPr>
          <w:rFonts w:ascii="Arial" w:hAnsi="Arial" w:cs="Arial"/>
        </w:rPr>
        <w:t>Samlesbury</w:t>
      </w:r>
      <w:proofErr w:type="spellEnd"/>
      <w:r w:rsidRPr="63C0AF30">
        <w:rPr>
          <w:rFonts w:ascii="Arial" w:hAnsi="Arial" w:cs="Arial"/>
        </w:rPr>
        <w:t xml:space="preserve"> (SEZ) and Warton Sites.</w:t>
      </w:r>
      <w:r w:rsidRPr="63C0AF30">
        <w:rPr>
          <w:rFonts w:ascii="Arial" w:hAnsi="Arial" w:cs="Arial"/>
          <w:b/>
          <w:bCs/>
        </w:rPr>
        <w:t xml:space="preserve"> </w:t>
      </w:r>
      <w:r w:rsidRPr="63C0AF30">
        <w:rPr>
          <w:rFonts w:ascii="Arial" w:hAnsi="Arial" w:cs="Arial"/>
        </w:rPr>
        <w:t xml:space="preserve">The SEZ has benefitted from circa </w:t>
      </w:r>
      <w:r w:rsidR="004A6BA2" w:rsidRPr="63C0AF30">
        <w:rPr>
          <w:rFonts w:ascii="Arial" w:hAnsi="Arial" w:cs="Arial"/>
        </w:rPr>
        <w:t>£5</w:t>
      </w:r>
      <w:r w:rsidR="23CF7121" w:rsidRPr="63C0AF30">
        <w:rPr>
          <w:rFonts w:ascii="Arial" w:hAnsi="Arial" w:cs="Arial"/>
        </w:rPr>
        <w:t>8.83</w:t>
      </w:r>
      <w:r w:rsidR="004A6BA2" w:rsidRPr="63C0AF30">
        <w:rPr>
          <w:rFonts w:ascii="Arial" w:hAnsi="Arial" w:cs="Arial"/>
        </w:rPr>
        <w:t xml:space="preserve">m </w:t>
      </w:r>
      <w:r w:rsidRPr="63C0AF30">
        <w:rPr>
          <w:rFonts w:ascii="Arial" w:hAnsi="Arial" w:cs="Arial"/>
        </w:rPr>
        <w:t>public and private sector investment to date</w:t>
      </w:r>
      <w:r w:rsidR="00B51E87" w:rsidRPr="63C0AF30">
        <w:rPr>
          <w:rFonts w:ascii="Arial" w:hAnsi="Arial" w:cs="Arial"/>
        </w:rPr>
        <w:t xml:space="preserve">, </w:t>
      </w:r>
      <w:r w:rsidR="005A6458" w:rsidRPr="63C0AF30">
        <w:rPr>
          <w:rFonts w:ascii="Arial" w:hAnsi="Arial" w:cs="Arial"/>
        </w:rPr>
        <w:t>enabling t</w:t>
      </w:r>
      <w:r w:rsidR="00B51E87" w:rsidRPr="63C0AF30">
        <w:rPr>
          <w:rFonts w:ascii="Arial" w:hAnsi="Arial" w:cs="Arial"/>
        </w:rPr>
        <w:t xml:space="preserve">he developments as </w:t>
      </w:r>
      <w:r w:rsidR="2B121885" w:rsidRPr="63C0AF30">
        <w:rPr>
          <w:rFonts w:ascii="Arial" w:hAnsi="Arial" w:cs="Arial"/>
        </w:rPr>
        <w:t xml:space="preserve">outlined </w:t>
      </w:r>
      <w:r w:rsidR="00B51E87" w:rsidRPr="63C0AF30">
        <w:rPr>
          <w:rFonts w:ascii="Arial" w:hAnsi="Arial" w:cs="Arial"/>
        </w:rPr>
        <w:t xml:space="preserve">in the table below. </w:t>
      </w:r>
      <w:bookmarkStart w:id="1" w:name="_Hlk80795509"/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927"/>
        <w:gridCol w:w="1365"/>
        <w:gridCol w:w="1862"/>
        <w:gridCol w:w="1862"/>
      </w:tblGrid>
      <w:tr w:rsidR="00F962F8" w14:paraId="2B58706D" w14:textId="6FF399AC" w:rsidTr="000F00CD">
        <w:tc>
          <w:tcPr>
            <w:tcW w:w="3927" w:type="dxa"/>
          </w:tcPr>
          <w:p w14:paraId="12B12600" w14:textId="7772C25E" w:rsidR="00B51E87" w:rsidRPr="005A6458" w:rsidRDefault="00EF6793" w:rsidP="006A61BF">
            <w:pPr>
              <w:jc w:val="both"/>
              <w:rPr>
                <w:rFonts w:ascii="Arial" w:hAnsi="Arial" w:cs="Arial"/>
                <w:b/>
                <w:bCs/>
              </w:rPr>
            </w:pPr>
            <w:r w:rsidRPr="005A6458">
              <w:rPr>
                <w:rFonts w:ascii="Arial" w:hAnsi="Arial" w:cs="Arial"/>
                <w:b/>
                <w:bCs/>
              </w:rPr>
              <w:t>Development / Works</w:t>
            </w:r>
          </w:p>
        </w:tc>
        <w:tc>
          <w:tcPr>
            <w:tcW w:w="1365" w:type="dxa"/>
          </w:tcPr>
          <w:p w14:paraId="310B775D" w14:textId="2E0037E3" w:rsidR="00B51E87" w:rsidRPr="005A6458" w:rsidRDefault="00EF6793" w:rsidP="006A61BF">
            <w:pPr>
              <w:jc w:val="both"/>
              <w:rPr>
                <w:rFonts w:ascii="Arial" w:hAnsi="Arial" w:cs="Arial"/>
                <w:b/>
                <w:bCs/>
              </w:rPr>
            </w:pPr>
            <w:r w:rsidRPr="005A6458">
              <w:rPr>
                <w:rFonts w:ascii="Arial" w:hAnsi="Arial" w:cs="Arial"/>
                <w:b/>
                <w:bCs/>
              </w:rPr>
              <w:t>£m</w:t>
            </w:r>
          </w:p>
        </w:tc>
        <w:tc>
          <w:tcPr>
            <w:tcW w:w="1862" w:type="dxa"/>
          </w:tcPr>
          <w:p w14:paraId="1FEEE874" w14:textId="012F315F" w:rsidR="00B51E87" w:rsidRPr="005A6458" w:rsidRDefault="00EF6793" w:rsidP="006A61BF">
            <w:pPr>
              <w:jc w:val="both"/>
              <w:rPr>
                <w:rFonts w:ascii="Arial" w:hAnsi="Arial" w:cs="Arial"/>
                <w:b/>
                <w:bCs/>
              </w:rPr>
            </w:pPr>
            <w:r w:rsidRPr="005A6458">
              <w:rPr>
                <w:rFonts w:ascii="Arial" w:hAnsi="Arial" w:cs="Arial"/>
                <w:b/>
                <w:bCs/>
              </w:rPr>
              <w:t>Funding Body</w:t>
            </w:r>
          </w:p>
        </w:tc>
        <w:tc>
          <w:tcPr>
            <w:tcW w:w="1862" w:type="dxa"/>
          </w:tcPr>
          <w:p w14:paraId="6F5B4761" w14:textId="58D354A3" w:rsidR="00B51E87" w:rsidRPr="005A6458" w:rsidRDefault="00EF6793" w:rsidP="006A61BF">
            <w:pPr>
              <w:jc w:val="both"/>
              <w:rPr>
                <w:rFonts w:ascii="Arial" w:hAnsi="Arial" w:cs="Arial"/>
                <w:b/>
                <w:bCs/>
              </w:rPr>
            </w:pPr>
            <w:r w:rsidRPr="005A6458">
              <w:rPr>
                <w:rFonts w:ascii="Arial" w:hAnsi="Arial" w:cs="Arial"/>
                <w:b/>
                <w:bCs/>
              </w:rPr>
              <w:t>Completed</w:t>
            </w:r>
          </w:p>
        </w:tc>
      </w:tr>
      <w:tr w:rsidR="00F962F8" w14:paraId="02610FEF" w14:textId="1BCE43A9" w:rsidTr="000F00CD">
        <w:tc>
          <w:tcPr>
            <w:tcW w:w="3927" w:type="dxa"/>
          </w:tcPr>
          <w:p w14:paraId="0A1F3AA6" w14:textId="291D95FF" w:rsidR="00B51E87" w:rsidRPr="005A6458" w:rsidRDefault="00EF6793" w:rsidP="00B51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Phase 1 - </w:t>
            </w:r>
            <w:r w:rsidRPr="005A6458">
              <w:rPr>
                <w:rFonts w:ascii="Arial" w:hAnsi="Arial" w:cs="Arial"/>
              </w:rPr>
              <w:t>Spine Road</w:t>
            </w:r>
          </w:p>
        </w:tc>
        <w:tc>
          <w:tcPr>
            <w:tcW w:w="1365" w:type="dxa"/>
          </w:tcPr>
          <w:p w14:paraId="6B19A52E" w14:textId="60D5655C" w:rsidR="00B51E87" w:rsidRPr="005A6458" w:rsidRDefault="00EF6793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£1</w:t>
            </w:r>
            <w:r>
              <w:rPr>
                <w:rFonts w:ascii="Arial" w:hAnsi="Arial" w:cs="Arial"/>
              </w:rPr>
              <w:t>0.27</w:t>
            </w:r>
            <w:r w:rsidR="00962F58" w:rsidRPr="005A6458">
              <w:rPr>
                <w:rFonts w:ascii="Arial" w:hAnsi="Arial" w:cs="Arial"/>
              </w:rPr>
              <w:t>m</w:t>
            </w:r>
          </w:p>
        </w:tc>
        <w:tc>
          <w:tcPr>
            <w:tcW w:w="1862" w:type="dxa"/>
          </w:tcPr>
          <w:p w14:paraId="51E2BC5D" w14:textId="3B501725" w:rsidR="00B51E87" w:rsidRPr="005A6458" w:rsidRDefault="00EF6793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LCC PW</w:t>
            </w:r>
            <w:r w:rsidR="00741556" w:rsidRPr="005A6458">
              <w:rPr>
                <w:rFonts w:ascii="Arial" w:hAnsi="Arial" w:cs="Arial"/>
              </w:rPr>
              <w:t>L</w:t>
            </w:r>
            <w:r w:rsidRPr="005A6458">
              <w:rPr>
                <w:rFonts w:ascii="Arial" w:hAnsi="Arial" w:cs="Arial"/>
              </w:rPr>
              <w:t xml:space="preserve">B / </w:t>
            </w:r>
            <w:r>
              <w:rPr>
                <w:rFonts w:ascii="Arial" w:hAnsi="Arial" w:cs="Arial"/>
              </w:rPr>
              <w:t xml:space="preserve">LEP </w:t>
            </w:r>
            <w:r w:rsidRPr="005A6458">
              <w:rPr>
                <w:rFonts w:ascii="Arial" w:hAnsi="Arial" w:cs="Arial"/>
              </w:rPr>
              <w:t>Business Rates</w:t>
            </w:r>
          </w:p>
        </w:tc>
        <w:tc>
          <w:tcPr>
            <w:tcW w:w="1862" w:type="dxa"/>
          </w:tcPr>
          <w:p w14:paraId="16942F43" w14:textId="77777777" w:rsidR="00B51E87" w:rsidRPr="005A6458" w:rsidRDefault="00EF6793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Completed</w:t>
            </w:r>
          </w:p>
          <w:p w14:paraId="530661C4" w14:textId="5EDD1EB1" w:rsidR="00B51E87" w:rsidRPr="005A6458" w:rsidRDefault="00EF6793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2018</w:t>
            </w:r>
          </w:p>
        </w:tc>
      </w:tr>
      <w:tr w:rsidR="00F962F8" w14:paraId="035734D7" w14:textId="74633B97" w:rsidTr="000F00CD">
        <w:tc>
          <w:tcPr>
            <w:tcW w:w="3927" w:type="dxa"/>
          </w:tcPr>
          <w:p w14:paraId="3AF64C51" w14:textId="47A9B05E" w:rsidR="00B51E87" w:rsidRPr="003B7D74" w:rsidRDefault="00EF6793" w:rsidP="00B51E87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Phase 2 - Side wide infrastructure works</w:t>
            </w:r>
            <w:r w:rsidR="001722C1" w:rsidRPr="003B7D74">
              <w:rPr>
                <w:rFonts w:ascii="Arial" w:hAnsi="Arial" w:cs="Arial"/>
              </w:rPr>
              <w:t xml:space="preserve"> (Growth Deal Programme)</w:t>
            </w:r>
            <w:r w:rsidRPr="003B7D74">
              <w:rPr>
                <w:rFonts w:ascii="Arial" w:hAnsi="Arial" w:cs="Arial"/>
              </w:rPr>
              <w:t>, AMRC plot development</w:t>
            </w:r>
            <w:r w:rsidR="003B7D74" w:rsidRPr="003B7D74">
              <w:rPr>
                <w:rFonts w:ascii="Arial" w:hAnsi="Arial" w:cs="Arial"/>
              </w:rPr>
              <w:t xml:space="preserve"> (excl. ENW below)</w:t>
            </w:r>
          </w:p>
        </w:tc>
        <w:tc>
          <w:tcPr>
            <w:tcW w:w="1365" w:type="dxa"/>
            <w:shd w:val="clear" w:color="auto" w:fill="auto"/>
          </w:tcPr>
          <w:p w14:paraId="15DA8D6E" w14:textId="36E6D7D9" w:rsidR="00B51E87" w:rsidRPr="003B7D74" w:rsidRDefault="00EF6793" w:rsidP="00B51E87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£</w:t>
            </w:r>
            <w:r w:rsidR="001722C1" w:rsidRPr="003B7D74">
              <w:rPr>
                <w:rFonts w:ascii="Arial" w:hAnsi="Arial" w:cs="Arial"/>
              </w:rPr>
              <w:t>10.8</w:t>
            </w:r>
            <w:r w:rsidR="007D672A" w:rsidRPr="003B7D74">
              <w:rPr>
                <w:rFonts w:ascii="Arial" w:hAnsi="Arial" w:cs="Arial"/>
              </w:rPr>
              <w:t>m</w:t>
            </w:r>
          </w:p>
        </w:tc>
        <w:tc>
          <w:tcPr>
            <w:tcW w:w="1862" w:type="dxa"/>
          </w:tcPr>
          <w:p w14:paraId="7C7082CF" w14:textId="3E9BDCED" w:rsidR="00B51E87" w:rsidRPr="003B7D74" w:rsidRDefault="00EF6793" w:rsidP="00B51E87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 xml:space="preserve">LEP Growth </w:t>
            </w:r>
            <w:r w:rsidR="001D36D3" w:rsidRPr="003B7D74">
              <w:rPr>
                <w:rFonts w:ascii="Arial" w:hAnsi="Arial" w:cs="Arial"/>
              </w:rPr>
              <w:t>Deal, LCC</w:t>
            </w:r>
            <w:r w:rsidR="00962F58" w:rsidRPr="003B7D74">
              <w:rPr>
                <w:rFonts w:ascii="Arial" w:hAnsi="Arial" w:cs="Arial"/>
              </w:rPr>
              <w:t xml:space="preserve"> </w:t>
            </w:r>
            <w:r w:rsidRPr="003B7D74">
              <w:rPr>
                <w:rFonts w:ascii="Arial" w:hAnsi="Arial" w:cs="Arial"/>
              </w:rPr>
              <w:t xml:space="preserve">PWLB / </w:t>
            </w:r>
            <w:r>
              <w:rPr>
                <w:rFonts w:ascii="Arial" w:hAnsi="Arial" w:cs="Arial"/>
              </w:rPr>
              <w:t xml:space="preserve">LEP </w:t>
            </w:r>
            <w:r w:rsidRPr="003B7D74">
              <w:rPr>
                <w:rFonts w:ascii="Arial" w:hAnsi="Arial" w:cs="Arial"/>
              </w:rPr>
              <w:t>Business Rates</w:t>
            </w:r>
          </w:p>
        </w:tc>
        <w:tc>
          <w:tcPr>
            <w:tcW w:w="1862" w:type="dxa"/>
          </w:tcPr>
          <w:p w14:paraId="1DF1F370" w14:textId="5A5D09E8" w:rsidR="00E86B41" w:rsidRPr="003B7D74" w:rsidRDefault="00EF6793" w:rsidP="00B51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Summer </w:t>
            </w:r>
            <w:r w:rsidR="00721F73">
              <w:rPr>
                <w:rFonts w:ascii="Arial" w:hAnsi="Arial" w:cs="Arial"/>
              </w:rPr>
              <w:t>2022 (</w:t>
            </w:r>
            <w:r>
              <w:rPr>
                <w:rFonts w:ascii="Arial" w:hAnsi="Arial" w:cs="Arial"/>
              </w:rPr>
              <w:t>except Foul Water drainage – July 2023)</w:t>
            </w:r>
          </w:p>
        </w:tc>
      </w:tr>
      <w:tr w:rsidR="00F962F8" w14:paraId="2BB60545" w14:textId="77777777" w:rsidTr="000F00CD">
        <w:tc>
          <w:tcPr>
            <w:tcW w:w="3927" w:type="dxa"/>
          </w:tcPr>
          <w:p w14:paraId="7688CCB4" w14:textId="55D9E9FA" w:rsidR="006A1529" w:rsidRPr="003B7D74" w:rsidRDefault="00EF6793" w:rsidP="00B51E87">
            <w:pPr>
              <w:rPr>
                <w:rFonts w:ascii="Arial" w:hAnsi="Arial" w:cs="Arial"/>
              </w:rPr>
            </w:pPr>
            <w:r w:rsidRPr="63C0AF30">
              <w:rPr>
                <w:rFonts w:ascii="Arial" w:hAnsi="Arial" w:cs="Arial"/>
              </w:rPr>
              <w:t xml:space="preserve">Phase 3 </w:t>
            </w:r>
            <w:r w:rsidR="3BE46D0A" w:rsidRPr="63C0AF30">
              <w:rPr>
                <w:rFonts w:ascii="Arial" w:hAnsi="Arial" w:cs="Arial"/>
              </w:rPr>
              <w:t xml:space="preserve">- </w:t>
            </w:r>
            <w:r w:rsidR="4860F01D" w:rsidRPr="63C0AF30">
              <w:rPr>
                <w:rFonts w:ascii="Arial" w:hAnsi="Arial" w:cs="Arial"/>
              </w:rPr>
              <w:t xml:space="preserve">Additional </w:t>
            </w:r>
            <w:r w:rsidRPr="63C0AF30">
              <w:rPr>
                <w:rFonts w:ascii="Arial" w:hAnsi="Arial" w:cs="Arial"/>
              </w:rPr>
              <w:t>Site wide infrastructure works</w:t>
            </w:r>
            <w:r w:rsidR="4860F01D" w:rsidRPr="63C0AF30">
              <w:rPr>
                <w:rFonts w:ascii="Arial" w:hAnsi="Arial" w:cs="Arial"/>
              </w:rPr>
              <w:t xml:space="preserve"> (</w:t>
            </w:r>
            <w:r w:rsidR="19D0ACE3" w:rsidRPr="63C0AF30">
              <w:rPr>
                <w:rFonts w:ascii="Arial" w:hAnsi="Arial" w:cs="Arial"/>
              </w:rPr>
              <w:t>non-Growth</w:t>
            </w:r>
            <w:r w:rsidR="4860F01D" w:rsidRPr="63C0AF30">
              <w:rPr>
                <w:rFonts w:ascii="Arial" w:hAnsi="Arial" w:cs="Arial"/>
              </w:rPr>
              <w:t xml:space="preserve"> Deal Programme)</w:t>
            </w:r>
            <w:r w:rsidRPr="63C0AF30">
              <w:rPr>
                <w:rFonts w:ascii="Arial" w:hAnsi="Arial" w:cs="Arial"/>
              </w:rPr>
              <w:t xml:space="preserve">, earthworks, cut and fill, infrastructure/access works </w:t>
            </w:r>
          </w:p>
        </w:tc>
        <w:tc>
          <w:tcPr>
            <w:tcW w:w="1365" w:type="dxa"/>
          </w:tcPr>
          <w:p w14:paraId="7921FBBD" w14:textId="46BEE6F3" w:rsidR="006A1529" w:rsidRPr="003B7D74" w:rsidRDefault="00EF6793" w:rsidP="00B51E87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£21m</w:t>
            </w:r>
            <w:r w:rsidR="004A0615" w:rsidRPr="003B7D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estimate</w:t>
            </w:r>
          </w:p>
        </w:tc>
        <w:tc>
          <w:tcPr>
            <w:tcW w:w="1862" w:type="dxa"/>
          </w:tcPr>
          <w:p w14:paraId="27C386A9" w14:textId="1DFBAD41" w:rsidR="006A1529" w:rsidRPr="003B7D74" w:rsidRDefault="00EF6793" w:rsidP="00B51E87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 xml:space="preserve">LCC PWLB / </w:t>
            </w:r>
            <w:r>
              <w:rPr>
                <w:rFonts w:ascii="Arial" w:hAnsi="Arial" w:cs="Arial"/>
              </w:rPr>
              <w:t xml:space="preserve">LEP </w:t>
            </w:r>
            <w:r w:rsidRPr="003B7D74">
              <w:rPr>
                <w:rFonts w:ascii="Arial" w:hAnsi="Arial" w:cs="Arial"/>
              </w:rPr>
              <w:t>Business Rates</w:t>
            </w:r>
          </w:p>
        </w:tc>
        <w:tc>
          <w:tcPr>
            <w:tcW w:w="1862" w:type="dxa"/>
          </w:tcPr>
          <w:p w14:paraId="1311C4C2" w14:textId="71AC012D" w:rsidR="006A1529" w:rsidRPr="003B7D74" w:rsidRDefault="00EF6793" w:rsidP="00B51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in-</w:t>
            </w:r>
            <w:proofErr w:type="gramStart"/>
            <w:r w:rsidR="00721F73">
              <w:rPr>
                <w:rFonts w:ascii="Arial" w:hAnsi="Arial" w:cs="Arial"/>
              </w:rPr>
              <w:t>principle</w:t>
            </w:r>
            <w:proofErr w:type="gramEnd"/>
            <w:r>
              <w:rPr>
                <w:rFonts w:ascii="Arial" w:hAnsi="Arial" w:cs="Arial"/>
              </w:rPr>
              <w:t xml:space="preserve"> approval, </w:t>
            </w:r>
            <w:r w:rsidR="00721F73" w:rsidRPr="003B7D74">
              <w:rPr>
                <w:rFonts w:ascii="Arial" w:hAnsi="Arial" w:cs="Arial"/>
              </w:rPr>
              <w:t>to commence</w:t>
            </w:r>
            <w:r w:rsidR="001A4D2C" w:rsidRPr="003B7D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Summer 2022</w:t>
            </w:r>
          </w:p>
        </w:tc>
      </w:tr>
      <w:tr w:rsidR="00F962F8" w14:paraId="2F8E1070" w14:textId="77777777" w:rsidTr="000F00CD">
        <w:tc>
          <w:tcPr>
            <w:tcW w:w="3927" w:type="dxa"/>
          </w:tcPr>
          <w:p w14:paraId="61249F8A" w14:textId="0F4102A3" w:rsidR="00E575ED" w:rsidRPr="003B7D74" w:rsidRDefault="00EF6793" w:rsidP="00B51E87">
            <w:pPr>
              <w:rPr>
                <w:rFonts w:ascii="Arial" w:hAnsi="Arial" w:cs="Arial"/>
                <w:b/>
                <w:bCs/>
              </w:rPr>
            </w:pPr>
            <w:r w:rsidRPr="003B7D74">
              <w:rPr>
                <w:rFonts w:ascii="Arial" w:hAnsi="Arial" w:cs="Arial"/>
                <w:b/>
                <w:bCs/>
              </w:rPr>
              <w:t>Subtotal</w:t>
            </w:r>
            <w:r w:rsidR="001A4D2C" w:rsidRPr="003B7D74">
              <w:rPr>
                <w:rFonts w:ascii="Arial" w:hAnsi="Arial" w:cs="Arial"/>
                <w:b/>
                <w:bCs/>
              </w:rPr>
              <w:t xml:space="preserve"> </w:t>
            </w:r>
            <w:r w:rsidR="003B7D74" w:rsidRPr="003B7D74">
              <w:rPr>
                <w:rFonts w:ascii="Arial" w:hAnsi="Arial" w:cs="Arial"/>
                <w:b/>
                <w:bCs/>
              </w:rPr>
              <w:t>(Phase 1, 2 &amp; 3)</w:t>
            </w:r>
          </w:p>
        </w:tc>
        <w:tc>
          <w:tcPr>
            <w:tcW w:w="1365" w:type="dxa"/>
          </w:tcPr>
          <w:p w14:paraId="0739E07D" w14:textId="4D5BD0AB" w:rsidR="00E575ED" w:rsidRDefault="00EF6793" w:rsidP="00B51E87">
            <w:pPr>
              <w:rPr>
                <w:rFonts w:ascii="Arial" w:hAnsi="Arial" w:cs="Arial"/>
                <w:b/>
                <w:bCs/>
              </w:rPr>
            </w:pPr>
            <w:r w:rsidRPr="003B7D74">
              <w:rPr>
                <w:rFonts w:ascii="Arial" w:hAnsi="Arial" w:cs="Arial"/>
                <w:b/>
                <w:bCs/>
              </w:rPr>
              <w:t>£42</w:t>
            </w:r>
            <w:r w:rsidR="00A73584">
              <w:rPr>
                <w:rFonts w:ascii="Arial" w:hAnsi="Arial" w:cs="Arial"/>
                <w:b/>
                <w:bCs/>
              </w:rPr>
              <w:t>.07</w:t>
            </w:r>
            <w:r w:rsidRPr="003B7D74">
              <w:rPr>
                <w:rFonts w:ascii="Arial" w:hAnsi="Arial" w:cs="Arial"/>
                <w:b/>
                <w:bCs/>
              </w:rPr>
              <w:t>m</w:t>
            </w:r>
          </w:p>
          <w:p w14:paraId="55096ABE" w14:textId="0714B389" w:rsidR="001A4D2C" w:rsidRPr="00FA3D2B" w:rsidRDefault="00EF6793" w:rsidP="00B51E87">
            <w:pPr>
              <w:rPr>
                <w:rFonts w:ascii="Arial" w:hAnsi="Arial" w:cs="Arial"/>
                <w:sz w:val="20"/>
                <w:szCs w:val="20"/>
              </w:rPr>
            </w:pPr>
            <w:r w:rsidRPr="00FA3D2B">
              <w:rPr>
                <w:rFonts w:ascii="Arial" w:hAnsi="Arial" w:cs="Arial"/>
                <w:sz w:val="20"/>
                <w:szCs w:val="20"/>
              </w:rPr>
              <w:t>+ interest on capital borrowing</w:t>
            </w:r>
          </w:p>
        </w:tc>
        <w:tc>
          <w:tcPr>
            <w:tcW w:w="1862" w:type="dxa"/>
          </w:tcPr>
          <w:p w14:paraId="6550CD4B" w14:textId="77777777" w:rsidR="00E575ED" w:rsidRPr="003B7D74" w:rsidRDefault="00E575ED" w:rsidP="00B51E87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14:paraId="67E0A104" w14:textId="77777777" w:rsidR="00E575ED" w:rsidRPr="003B7D74" w:rsidRDefault="00E575ED" w:rsidP="00B51E87">
            <w:pPr>
              <w:rPr>
                <w:rFonts w:ascii="Arial" w:hAnsi="Arial" w:cs="Arial"/>
              </w:rPr>
            </w:pPr>
          </w:p>
        </w:tc>
      </w:tr>
      <w:tr w:rsidR="00F962F8" w14:paraId="5A275281" w14:textId="77777777" w:rsidTr="000F00CD">
        <w:tc>
          <w:tcPr>
            <w:tcW w:w="3927" w:type="dxa"/>
          </w:tcPr>
          <w:p w14:paraId="0EF96C23" w14:textId="77777777" w:rsidR="00E575ED" w:rsidRPr="003B7D74" w:rsidRDefault="00EF6793" w:rsidP="00336056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BAE Facilities (ASK, Wincanton Defence &amp; Logistics Centre, AMF)</w:t>
            </w:r>
          </w:p>
        </w:tc>
        <w:tc>
          <w:tcPr>
            <w:tcW w:w="1365" w:type="dxa"/>
          </w:tcPr>
          <w:p w14:paraId="11B636E3" w14:textId="77777777" w:rsidR="00E575ED" w:rsidRPr="003B7D74" w:rsidRDefault="00EF6793" w:rsidP="00336056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£42m</w:t>
            </w:r>
          </w:p>
        </w:tc>
        <w:tc>
          <w:tcPr>
            <w:tcW w:w="1862" w:type="dxa"/>
          </w:tcPr>
          <w:p w14:paraId="16645079" w14:textId="77777777" w:rsidR="00E575ED" w:rsidRPr="003B7D74" w:rsidRDefault="00EF6793" w:rsidP="00336056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BAE</w:t>
            </w:r>
          </w:p>
        </w:tc>
        <w:tc>
          <w:tcPr>
            <w:tcW w:w="1862" w:type="dxa"/>
          </w:tcPr>
          <w:p w14:paraId="5FC9C214" w14:textId="7533C37F" w:rsidR="00E575ED" w:rsidRPr="003B7D74" w:rsidRDefault="00EF6793" w:rsidP="00336056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C</w:t>
            </w:r>
            <w:r w:rsidR="00DB5C96">
              <w:rPr>
                <w:rFonts w:ascii="Arial" w:hAnsi="Arial" w:cs="Arial"/>
              </w:rPr>
              <w:t xml:space="preserve">OMPLETED </w:t>
            </w:r>
          </w:p>
        </w:tc>
      </w:tr>
      <w:tr w:rsidR="00F962F8" w14:paraId="48F3A1D3" w14:textId="77777777" w:rsidTr="000F00CD">
        <w:tc>
          <w:tcPr>
            <w:tcW w:w="3927" w:type="dxa"/>
          </w:tcPr>
          <w:p w14:paraId="31950584" w14:textId="77777777" w:rsidR="00E575ED" w:rsidRPr="003B7D74" w:rsidRDefault="00EF6793" w:rsidP="00336056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AMRC Facility</w:t>
            </w:r>
          </w:p>
        </w:tc>
        <w:tc>
          <w:tcPr>
            <w:tcW w:w="1365" w:type="dxa"/>
          </w:tcPr>
          <w:p w14:paraId="3D016CF3" w14:textId="77777777" w:rsidR="00E575ED" w:rsidRPr="003B7D74" w:rsidRDefault="00EF6793" w:rsidP="00336056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£20m</w:t>
            </w:r>
          </w:p>
        </w:tc>
        <w:tc>
          <w:tcPr>
            <w:tcW w:w="1862" w:type="dxa"/>
          </w:tcPr>
          <w:p w14:paraId="7ABD7181" w14:textId="77777777" w:rsidR="00E575ED" w:rsidRPr="003B7D74" w:rsidRDefault="00EF6793" w:rsidP="00336056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LEP – Growth Deal</w:t>
            </w:r>
          </w:p>
        </w:tc>
        <w:tc>
          <w:tcPr>
            <w:tcW w:w="1862" w:type="dxa"/>
          </w:tcPr>
          <w:p w14:paraId="50B849CA" w14:textId="5DDFD2C0" w:rsidR="00E575ED" w:rsidRPr="003B7D74" w:rsidRDefault="00EF6793" w:rsidP="00336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</w:tr>
      <w:tr w:rsidR="00F962F8" w14:paraId="0AED7886" w14:textId="77777777" w:rsidTr="000F00CD">
        <w:tc>
          <w:tcPr>
            <w:tcW w:w="3927" w:type="dxa"/>
          </w:tcPr>
          <w:p w14:paraId="0214F29B" w14:textId="0A113EBB" w:rsidR="00E575ED" w:rsidRPr="005A6458" w:rsidRDefault="00EF6793" w:rsidP="00336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Sector investment (</w:t>
            </w:r>
            <w:r w:rsidR="00E86B41">
              <w:rPr>
                <w:rFonts w:ascii="Arial" w:hAnsi="Arial" w:cs="Arial"/>
              </w:rPr>
              <w:t xml:space="preserve">power </w:t>
            </w:r>
            <w:r>
              <w:rPr>
                <w:rFonts w:ascii="Arial" w:hAnsi="Arial" w:cs="Arial"/>
              </w:rPr>
              <w:t>utility)</w:t>
            </w:r>
            <w:r w:rsidR="003B7D74">
              <w:rPr>
                <w:rFonts w:ascii="Arial" w:hAnsi="Arial" w:cs="Arial"/>
              </w:rPr>
              <w:t xml:space="preserve"> (Delivered as part of Phase 2)</w:t>
            </w:r>
          </w:p>
        </w:tc>
        <w:tc>
          <w:tcPr>
            <w:tcW w:w="1365" w:type="dxa"/>
          </w:tcPr>
          <w:p w14:paraId="78ABC81F" w14:textId="77777777" w:rsidR="00E575ED" w:rsidRPr="005A6458" w:rsidRDefault="00EF6793" w:rsidP="00336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£7m</w:t>
            </w:r>
          </w:p>
        </w:tc>
        <w:tc>
          <w:tcPr>
            <w:tcW w:w="1862" w:type="dxa"/>
          </w:tcPr>
          <w:p w14:paraId="712946B8" w14:textId="77777777" w:rsidR="00E575ED" w:rsidRPr="005A6458" w:rsidRDefault="00EF6793" w:rsidP="00336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</w:t>
            </w:r>
          </w:p>
        </w:tc>
        <w:tc>
          <w:tcPr>
            <w:tcW w:w="1862" w:type="dxa"/>
          </w:tcPr>
          <w:p w14:paraId="578B028B" w14:textId="6EA4F414" w:rsidR="00E575ED" w:rsidRPr="005A6458" w:rsidRDefault="00EF6793" w:rsidP="00336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A1858">
              <w:rPr>
                <w:rFonts w:ascii="Arial" w:hAnsi="Arial" w:cs="Arial"/>
              </w:rPr>
              <w:t xml:space="preserve">eptember </w:t>
            </w:r>
            <w:r>
              <w:rPr>
                <w:rFonts w:ascii="Arial" w:hAnsi="Arial" w:cs="Arial"/>
              </w:rPr>
              <w:t>2022</w:t>
            </w:r>
          </w:p>
        </w:tc>
      </w:tr>
    </w:tbl>
    <w:p w14:paraId="58185620" w14:textId="77777777" w:rsidR="00E575ED" w:rsidRPr="005A6458" w:rsidRDefault="00E575ED" w:rsidP="005A6458">
      <w:pPr>
        <w:pStyle w:val="NoSpacing"/>
        <w:rPr>
          <w:b/>
          <w:u w:val="single"/>
        </w:rPr>
      </w:pPr>
    </w:p>
    <w:p w14:paraId="2C9846D6" w14:textId="137BCEE7" w:rsidR="006D34BE" w:rsidRPr="005A6458" w:rsidRDefault="00EF6793" w:rsidP="006A61BF">
      <w:pPr>
        <w:jc w:val="both"/>
        <w:rPr>
          <w:rFonts w:ascii="Arial" w:hAnsi="Arial" w:cs="Arial"/>
          <w:b/>
          <w:u w:val="single"/>
        </w:rPr>
      </w:pPr>
      <w:r w:rsidRPr="005A6458">
        <w:rPr>
          <w:rFonts w:ascii="Arial" w:hAnsi="Arial" w:cs="Arial"/>
          <w:b/>
          <w:u w:val="single"/>
        </w:rPr>
        <w:t>Performance</w:t>
      </w:r>
    </w:p>
    <w:p w14:paraId="4A606B2B" w14:textId="023448C6" w:rsidR="00191E07" w:rsidRPr="005A6458" w:rsidRDefault="00EF6793" w:rsidP="492E44A7">
      <w:pPr>
        <w:jc w:val="both"/>
        <w:rPr>
          <w:rFonts w:ascii="Arial" w:hAnsi="Arial" w:cs="Arial"/>
        </w:rPr>
      </w:pPr>
      <w:r w:rsidRPr="63C0AF30">
        <w:rPr>
          <w:rFonts w:ascii="Arial" w:hAnsi="Arial" w:cs="Arial"/>
        </w:rPr>
        <w:t xml:space="preserve">AMRC Development - </w:t>
      </w:r>
      <w:r w:rsidR="00B51E87" w:rsidRPr="63C0AF30">
        <w:rPr>
          <w:rFonts w:ascii="Arial" w:hAnsi="Arial" w:cs="Arial"/>
        </w:rPr>
        <w:t>As part of the site wide infr</w:t>
      </w:r>
      <w:r w:rsidR="001D36D3" w:rsidRPr="63C0AF30">
        <w:rPr>
          <w:rFonts w:ascii="Arial" w:hAnsi="Arial" w:cs="Arial"/>
        </w:rPr>
        <w:t>astructure</w:t>
      </w:r>
      <w:r w:rsidR="00B51E87" w:rsidRPr="63C0AF30">
        <w:rPr>
          <w:rFonts w:ascii="Arial" w:hAnsi="Arial" w:cs="Arial"/>
        </w:rPr>
        <w:t xml:space="preserve"> works</w:t>
      </w:r>
      <w:r w:rsidR="008F1599">
        <w:rPr>
          <w:rFonts w:ascii="Arial" w:hAnsi="Arial" w:cs="Arial"/>
        </w:rPr>
        <w:t>,</w:t>
      </w:r>
      <w:r w:rsidR="00B51E87" w:rsidRPr="63C0AF30">
        <w:rPr>
          <w:rFonts w:ascii="Arial" w:hAnsi="Arial" w:cs="Arial"/>
        </w:rPr>
        <w:t xml:space="preserve"> t</w:t>
      </w:r>
      <w:r w:rsidR="00F915DF" w:rsidRPr="63C0AF30">
        <w:rPr>
          <w:rFonts w:ascii="Arial" w:hAnsi="Arial" w:cs="Arial"/>
        </w:rPr>
        <w:t>he C</w:t>
      </w:r>
      <w:r w:rsidR="00EF763B" w:rsidRPr="63C0AF30">
        <w:rPr>
          <w:rFonts w:ascii="Arial" w:hAnsi="Arial" w:cs="Arial"/>
        </w:rPr>
        <w:t>ounty Council</w:t>
      </w:r>
      <w:r w:rsidR="00E40DDD" w:rsidRPr="63C0AF30">
        <w:rPr>
          <w:rFonts w:ascii="Arial" w:hAnsi="Arial" w:cs="Arial"/>
        </w:rPr>
        <w:t xml:space="preserve"> has</w:t>
      </w:r>
      <w:r w:rsidR="008F6380" w:rsidRPr="63C0AF30">
        <w:rPr>
          <w:rFonts w:ascii="Arial" w:hAnsi="Arial" w:cs="Arial"/>
        </w:rPr>
        <w:t xml:space="preserve"> completed the plot and access road</w:t>
      </w:r>
      <w:r w:rsidR="00DF5284" w:rsidRPr="63C0AF30">
        <w:rPr>
          <w:rFonts w:ascii="Arial" w:hAnsi="Arial" w:cs="Arial"/>
        </w:rPr>
        <w:t xml:space="preserve"> works</w:t>
      </w:r>
      <w:r w:rsidR="00451D72" w:rsidRPr="63C0AF30">
        <w:rPr>
          <w:rFonts w:ascii="Arial" w:hAnsi="Arial" w:cs="Arial"/>
        </w:rPr>
        <w:t>,</w:t>
      </w:r>
      <w:r w:rsidR="008F6380" w:rsidRPr="63C0AF30">
        <w:rPr>
          <w:rFonts w:ascii="Arial" w:hAnsi="Arial" w:cs="Arial"/>
        </w:rPr>
        <w:t xml:space="preserve"> </w:t>
      </w:r>
      <w:r w:rsidR="007A0B5F" w:rsidRPr="63C0AF30">
        <w:rPr>
          <w:rFonts w:ascii="Arial" w:hAnsi="Arial" w:cs="Arial"/>
        </w:rPr>
        <w:t>and</w:t>
      </w:r>
      <w:r w:rsidR="00E74765" w:rsidRPr="63C0AF30">
        <w:rPr>
          <w:rFonts w:ascii="Arial" w:hAnsi="Arial" w:cs="Arial"/>
        </w:rPr>
        <w:t xml:space="preserve"> the University of Sheffield's </w:t>
      </w:r>
      <w:r w:rsidR="7AB98161" w:rsidRPr="63C0AF30">
        <w:rPr>
          <w:rFonts w:ascii="Arial" w:hAnsi="Arial" w:cs="Arial"/>
        </w:rPr>
        <w:t xml:space="preserve">main contractor, Robertson, </w:t>
      </w:r>
      <w:r w:rsidR="00E86B41" w:rsidRPr="63C0AF30">
        <w:rPr>
          <w:rFonts w:ascii="Arial" w:hAnsi="Arial" w:cs="Arial"/>
        </w:rPr>
        <w:t xml:space="preserve">has now completed </w:t>
      </w:r>
      <w:r w:rsidR="7AB98161" w:rsidRPr="63C0AF30">
        <w:rPr>
          <w:rFonts w:ascii="Arial" w:hAnsi="Arial" w:cs="Arial"/>
        </w:rPr>
        <w:t xml:space="preserve">the </w:t>
      </w:r>
      <w:r w:rsidR="6D6B3B6F" w:rsidRPr="63C0AF30">
        <w:rPr>
          <w:rFonts w:ascii="Arial" w:hAnsi="Arial" w:cs="Arial"/>
        </w:rPr>
        <w:t xml:space="preserve">development </w:t>
      </w:r>
      <w:r w:rsidR="7AB98161" w:rsidRPr="63C0AF30">
        <w:rPr>
          <w:rFonts w:ascii="Arial" w:hAnsi="Arial" w:cs="Arial"/>
        </w:rPr>
        <w:t xml:space="preserve">of the AMRC </w:t>
      </w:r>
      <w:r w:rsidR="00B51E87" w:rsidRPr="63C0AF30">
        <w:rPr>
          <w:rFonts w:ascii="Arial" w:hAnsi="Arial" w:cs="Arial"/>
        </w:rPr>
        <w:t>Building</w:t>
      </w:r>
      <w:r w:rsidR="00E86B41" w:rsidRPr="63C0AF30">
        <w:rPr>
          <w:rFonts w:ascii="Arial" w:hAnsi="Arial" w:cs="Arial"/>
        </w:rPr>
        <w:t xml:space="preserve">. </w:t>
      </w:r>
      <w:r w:rsidR="00BD6DBB" w:rsidRPr="63C0AF30">
        <w:rPr>
          <w:rFonts w:ascii="Arial" w:hAnsi="Arial" w:cs="Arial"/>
        </w:rPr>
        <w:t xml:space="preserve">BAE </w:t>
      </w:r>
      <w:r w:rsidR="6E03D80E" w:rsidRPr="63C0AF30">
        <w:rPr>
          <w:rFonts w:ascii="Arial" w:hAnsi="Arial" w:cs="Arial"/>
        </w:rPr>
        <w:t xml:space="preserve">has </w:t>
      </w:r>
      <w:r w:rsidR="00E06F0D" w:rsidRPr="63C0AF30">
        <w:rPr>
          <w:rFonts w:ascii="Arial" w:hAnsi="Arial" w:cs="Arial"/>
        </w:rPr>
        <w:t xml:space="preserve">also </w:t>
      </w:r>
      <w:r w:rsidR="00F915DF" w:rsidRPr="63C0AF30">
        <w:rPr>
          <w:rFonts w:ascii="Arial" w:hAnsi="Arial" w:cs="Arial"/>
        </w:rPr>
        <w:t>com</w:t>
      </w:r>
      <w:r w:rsidR="59CB90CC" w:rsidRPr="63C0AF30">
        <w:rPr>
          <w:rFonts w:ascii="Arial" w:hAnsi="Arial" w:cs="Arial"/>
        </w:rPr>
        <w:t xml:space="preserve">pleted </w:t>
      </w:r>
      <w:r w:rsidR="139B4E3A" w:rsidRPr="63C0AF30">
        <w:rPr>
          <w:rFonts w:ascii="Arial" w:hAnsi="Arial" w:cs="Arial"/>
        </w:rPr>
        <w:t>the</w:t>
      </w:r>
      <w:r w:rsidR="00E01326" w:rsidRPr="63C0AF30">
        <w:rPr>
          <w:rFonts w:ascii="Arial" w:hAnsi="Arial" w:cs="Arial"/>
        </w:rPr>
        <w:t xml:space="preserve"> </w:t>
      </w:r>
      <w:r w:rsidR="00BD6DBB" w:rsidRPr="63C0AF30">
        <w:rPr>
          <w:rFonts w:ascii="Arial" w:hAnsi="Arial" w:cs="Arial"/>
        </w:rPr>
        <w:t xml:space="preserve">Asset Management Facility </w:t>
      </w:r>
      <w:r w:rsidR="00396D2B" w:rsidRPr="63C0AF30">
        <w:rPr>
          <w:rFonts w:ascii="Arial" w:hAnsi="Arial" w:cs="Arial"/>
        </w:rPr>
        <w:t>(AMF)</w:t>
      </w:r>
      <w:r w:rsidR="007D672A" w:rsidRPr="63C0AF30">
        <w:rPr>
          <w:rFonts w:ascii="Arial" w:hAnsi="Arial" w:cs="Arial"/>
        </w:rPr>
        <w:t>, the A</w:t>
      </w:r>
      <w:r w:rsidR="00CC1704" w:rsidRPr="63C0AF30">
        <w:rPr>
          <w:rFonts w:ascii="Arial" w:hAnsi="Arial" w:cs="Arial"/>
        </w:rPr>
        <w:t>cademy for Skills and Knowledge</w:t>
      </w:r>
      <w:r w:rsidR="007D672A" w:rsidRPr="63C0AF30">
        <w:rPr>
          <w:rFonts w:ascii="Arial" w:hAnsi="Arial" w:cs="Arial"/>
        </w:rPr>
        <w:t xml:space="preserve"> </w:t>
      </w:r>
      <w:r w:rsidR="00577DB2" w:rsidRPr="63C0AF30">
        <w:rPr>
          <w:rFonts w:ascii="Arial" w:hAnsi="Arial" w:cs="Arial"/>
        </w:rPr>
        <w:t xml:space="preserve">Facility </w:t>
      </w:r>
      <w:r w:rsidR="007D672A" w:rsidRPr="63C0AF30">
        <w:rPr>
          <w:rFonts w:ascii="Arial" w:hAnsi="Arial" w:cs="Arial"/>
        </w:rPr>
        <w:t>and Wincanton Defence Logistics Centre</w:t>
      </w:r>
      <w:r w:rsidR="00E01326" w:rsidRPr="63C0AF30">
        <w:rPr>
          <w:rFonts w:ascii="Arial" w:hAnsi="Arial" w:cs="Arial"/>
        </w:rPr>
        <w:t xml:space="preserve">. </w:t>
      </w:r>
    </w:p>
    <w:p w14:paraId="241374DE" w14:textId="4241DECD" w:rsidR="00D42F91" w:rsidRDefault="00EF6793" w:rsidP="492E44A7">
      <w:pPr>
        <w:jc w:val="both"/>
        <w:rPr>
          <w:rFonts w:ascii="Arial" w:hAnsi="Arial" w:cs="Arial"/>
        </w:rPr>
      </w:pPr>
      <w:r w:rsidRPr="005A6458">
        <w:rPr>
          <w:rFonts w:ascii="Arial" w:hAnsi="Arial" w:cs="Arial"/>
        </w:rPr>
        <w:t xml:space="preserve">Site Wide </w:t>
      </w:r>
      <w:r w:rsidRPr="00F5016A">
        <w:rPr>
          <w:rFonts w:ascii="Arial" w:hAnsi="Arial" w:cs="Arial"/>
        </w:rPr>
        <w:t xml:space="preserve">Infrastructure Works </w:t>
      </w:r>
      <w:r w:rsidR="004A6BA2" w:rsidRPr="00F5016A">
        <w:rPr>
          <w:rFonts w:ascii="Arial" w:hAnsi="Arial" w:cs="Arial"/>
        </w:rPr>
        <w:t>–</w:t>
      </w:r>
      <w:r w:rsidRPr="00F5016A">
        <w:rPr>
          <w:rFonts w:ascii="Arial" w:hAnsi="Arial" w:cs="Arial"/>
        </w:rPr>
        <w:t xml:space="preserve"> </w:t>
      </w:r>
      <w:r w:rsidR="00E86B41">
        <w:rPr>
          <w:rFonts w:ascii="Arial" w:hAnsi="Arial" w:cs="Arial"/>
        </w:rPr>
        <w:t>C</w:t>
      </w:r>
      <w:r w:rsidRPr="00F5016A">
        <w:rPr>
          <w:rFonts w:ascii="Arial" w:hAnsi="Arial" w:cs="Arial"/>
        </w:rPr>
        <w:t>laims have been made to date to draw down Growth Deal funding to the value of £</w:t>
      </w:r>
      <w:r w:rsidR="00E86B41">
        <w:rPr>
          <w:rFonts w:ascii="Arial" w:hAnsi="Arial" w:cs="Arial"/>
        </w:rPr>
        <w:t>6.56</w:t>
      </w:r>
      <w:r w:rsidR="00A73584">
        <w:rPr>
          <w:rFonts w:ascii="Arial" w:hAnsi="Arial" w:cs="Arial"/>
        </w:rPr>
        <w:t>0</w:t>
      </w:r>
      <w:r w:rsidRPr="00F5016A">
        <w:rPr>
          <w:rFonts w:ascii="Arial" w:hAnsi="Arial" w:cs="Arial"/>
        </w:rPr>
        <w:t xml:space="preserve">m, as </w:t>
      </w:r>
      <w:r w:rsidRPr="007D672A">
        <w:rPr>
          <w:rFonts w:ascii="Arial" w:hAnsi="Arial" w:cs="Arial"/>
        </w:rPr>
        <w:t xml:space="preserve">part of the £6.725m allocation to deliver the site wide infrastructure provision. </w:t>
      </w:r>
    </w:p>
    <w:p w14:paraId="4C02323F" w14:textId="315C32B5" w:rsidR="007D672A" w:rsidRDefault="00EF6793" w:rsidP="492E44A7">
      <w:pPr>
        <w:jc w:val="both"/>
        <w:rPr>
          <w:rFonts w:ascii="Arial" w:hAnsi="Arial" w:cs="Arial"/>
        </w:rPr>
      </w:pPr>
      <w:r w:rsidRPr="7A2E325E">
        <w:rPr>
          <w:rFonts w:ascii="Arial" w:hAnsi="Arial" w:cs="Arial"/>
        </w:rPr>
        <w:t xml:space="preserve">Gas, potable water and comms site wide infrastructure is completed. </w:t>
      </w:r>
      <w:r w:rsidR="009A48C4" w:rsidRPr="7A2E325E">
        <w:rPr>
          <w:rFonts w:ascii="Arial" w:hAnsi="Arial" w:cs="Arial"/>
        </w:rPr>
        <w:t>The site-wide surface water drainage infrastructure is largely completed, bar final associated bank stabilisation works</w:t>
      </w:r>
      <w:r w:rsidR="00290B2B" w:rsidRPr="7A2E325E">
        <w:rPr>
          <w:rFonts w:ascii="Arial" w:hAnsi="Arial" w:cs="Arial"/>
        </w:rPr>
        <w:t xml:space="preserve">, </w:t>
      </w:r>
      <w:r w:rsidR="009A48C4" w:rsidRPr="7A2E325E">
        <w:rPr>
          <w:rFonts w:ascii="Arial" w:hAnsi="Arial" w:cs="Arial"/>
        </w:rPr>
        <w:t>ecological planting</w:t>
      </w:r>
      <w:r w:rsidR="00290B2B" w:rsidRPr="7A2E325E">
        <w:rPr>
          <w:rFonts w:ascii="Arial" w:hAnsi="Arial" w:cs="Arial"/>
        </w:rPr>
        <w:t xml:space="preserve"> some limited temporary drainage requirements</w:t>
      </w:r>
      <w:r w:rsidR="009A48C4" w:rsidRPr="7A2E325E">
        <w:rPr>
          <w:rFonts w:ascii="Arial" w:hAnsi="Arial" w:cs="Arial"/>
        </w:rPr>
        <w:t xml:space="preserve">, whilst final </w:t>
      </w:r>
      <w:proofErr w:type="gramStart"/>
      <w:r w:rsidR="009A48C4" w:rsidRPr="7A2E325E">
        <w:rPr>
          <w:rFonts w:ascii="Arial" w:hAnsi="Arial" w:cs="Arial"/>
        </w:rPr>
        <w:t>Zone A Research &amp; Development earthworks</w:t>
      </w:r>
      <w:proofErr w:type="gramEnd"/>
      <w:r w:rsidR="009A48C4" w:rsidRPr="7A2E325E">
        <w:rPr>
          <w:rFonts w:ascii="Arial" w:hAnsi="Arial" w:cs="Arial"/>
        </w:rPr>
        <w:t xml:space="preserve"> are to be completed </w:t>
      </w:r>
      <w:r w:rsidRPr="7A2E325E">
        <w:rPr>
          <w:rFonts w:ascii="Arial" w:hAnsi="Arial" w:cs="Arial"/>
        </w:rPr>
        <w:t xml:space="preserve">for the remaining </w:t>
      </w:r>
      <w:r w:rsidR="009A48C4" w:rsidRPr="7A2E325E">
        <w:rPr>
          <w:rFonts w:ascii="Arial" w:hAnsi="Arial" w:cs="Arial"/>
        </w:rPr>
        <w:t xml:space="preserve">compound area now </w:t>
      </w:r>
      <w:r w:rsidRPr="7A2E325E">
        <w:rPr>
          <w:rFonts w:ascii="Arial" w:hAnsi="Arial" w:cs="Arial"/>
        </w:rPr>
        <w:t xml:space="preserve">that it has been </w:t>
      </w:r>
      <w:r w:rsidR="009A48C4" w:rsidRPr="7A2E325E">
        <w:rPr>
          <w:rFonts w:ascii="Arial" w:hAnsi="Arial" w:cs="Arial"/>
        </w:rPr>
        <w:t>vacated by AMRC's contractors. The F</w:t>
      </w:r>
      <w:r w:rsidR="00A90C33" w:rsidRPr="7A2E325E">
        <w:rPr>
          <w:rFonts w:ascii="Arial" w:hAnsi="Arial" w:cs="Arial"/>
        </w:rPr>
        <w:t xml:space="preserve">oul </w:t>
      </w:r>
      <w:r w:rsidR="009A48C4" w:rsidRPr="7A2E325E">
        <w:rPr>
          <w:rFonts w:ascii="Arial" w:hAnsi="Arial" w:cs="Arial"/>
        </w:rPr>
        <w:t>W</w:t>
      </w:r>
      <w:r w:rsidR="00A90C33" w:rsidRPr="7A2E325E">
        <w:rPr>
          <w:rFonts w:ascii="Arial" w:hAnsi="Arial" w:cs="Arial"/>
        </w:rPr>
        <w:t xml:space="preserve">ater drainage strategy </w:t>
      </w:r>
      <w:r w:rsidR="009A48C4" w:rsidRPr="7A2E325E">
        <w:rPr>
          <w:rFonts w:ascii="Arial" w:hAnsi="Arial" w:cs="Arial"/>
        </w:rPr>
        <w:t xml:space="preserve">has been </w:t>
      </w:r>
      <w:r w:rsidR="00A90C33" w:rsidRPr="7A2E325E">
        <w:rPr>
          <w:rFonts w:ascii="Arial" w:hAnsi="Arial" w:cs="Arial"/>
        </w:rPr>
        <w:t>agreed</w:t>
      </w:r>
      <w:r w:rsidR="009A48C4" w:rsidRPr="7A2E325E">
        <w:rPr>
          <w:rFonts w:ascii="Arial" w:hAnsi="Arial" w:cs="Arial"/>
        </w:rPr>
        <w:t xml:space="preserve"> and designs are to commence ahead of construction later in the year</w:t>
      </w:r>
      <w:r w:rsidR="00754D85" w:rsidRPr="7A2E325E">
        <w:rPr>
          <w:rFonts w:ascii="Arial" w:hAnsi="Arial" w:cs="Arial"/>
        </w:rPr>
        <w:t xml:space="preserve">. </w:t>
      </w:r>
      <w:r w:rsidR="001A4D2C" w:rsidRPr="7A2E325E">
        <w:rPr>
          <w:rFonts w:ascii="Arial" w:hAnsi="Arial" w:cs="Arial"/>
        </w:rPr>
        <w:t xml:space="preserve">ENWL </w:t>
      </w:r>
      <w:r w:rsidRPr="7A2E325E">
        <w:rPr>
          <w:rFonts w:ascii="Arial" w:hAnsi="Arial" w:cs="Arial"/>
        </w:rPr>
        <w:t>has almos</w:t>
      </w:r>
      <w:r w:rsidR="00DC7B5B" w:rsidRPr="7A2E325E">
        <w:rPr>
          <w:rFonts w:ascii="Arial" w:hAnsi="Arial" w:cs="Arial"/>
        </w:rPr>
        <w:t>t</w:t>
      </w:r>
      <w:r w:rsidRPr="7A2E325E">
        <w:rPr>
          <w:rFonts w:ascii="Arial" w:hAnsi="Arial" w:cs="Arial"/>
        </w:rPr>
        <w:t xml:space="preserve"> completed </w:t>
      </w:r>
      <w:r w:rsidR="001A4D2C" w:rsidRPr="7A2E325E">
        <w:rPr>
          <w:rFonts w:ascii="Arial" w:hAnsi="Arial" w:cs="Arial"/>
        </w:rPr>
        <w:t>the cabling to the site for the new primary sub</w:t>
      </w:r>
      <w:r w:rsidR="00A90C33" w:rsidRPr="7A2E325E">
        <w:rPr>
          <w:rFonts w:ascii="Arial" w:hAnsi="Arial" w:cs="Arial"/>
        </w:rPr>
        <w:t>-</w:t>
      </w:r>
      <w:r w:rsidR="001A4D2C" w:rsidRPr="7A2E325E">
        <w:rPr>
          <w:rFonts w:ascii="Arial" w:hAnsi="Arial" w:cs="Arial"/>
        </w:rPr>
        <w:t>station</w:t>
      </w:r>
      <w:r w:rsidRPr="7A2E325E">
        <w:rPr>
          <w:rFonts w:ascii="Arial" w:hAnsi="Arial" w:cs="Arial"/>
        </w:rPr>
        <w:t xml:space="preserve">, </w:t>
      </w:r>
      <w:r w:rsidR="009A48C4" w:rsidRPr="7A2E325E">
        <w:rPr>
          <w:rFonts w:ascii="Arial" w:hAnsi="Arial" w:cs="Arial"/>
        </w:rPr>
        <w:t xml:space="preserve">which </w:t>
      </w:r>
      <w:r w:rsidRPr="7A2E325E">
        <w:rPr>
          <w:rFonts w:ascii="Arial" w:hAnsi="Arial" w:cs="Arial"/>
        </w:rPr>
        <w:t xml:space="preserve">itself </w:t>
      </w:r>
      <w:r w:rsidR="009A48C4" w:rsidRPr="7A2E325E">
        <w:rPr>
          <w:rFonts w:ascii="Arial" w:hAnsi="Arial" w:cs="Arial"/>
        </w:rPr>
        <w:t>has been constructed and is awaiting electrical connectivity</w:t>
      </w:r>
      <w:r w:rsidR="001A4D2C" w:rsidRPr="7A2E325E">
        <w:rPr>
          <w:rFonts w:ascii="Arial" w:hAnsi="Arial" w:cs="Arial"/>
        </w:rPr>
        <w:t xml:space="preserve">. </w:t>
      </w:r>
    </w:p>
    <w:p w14:paraId="73A6C0DF" w14:textId="65FB543F" w:rsidR="007D672A" w:rsidRDefault="00EF6793" w:rsidP="492E44A7">
      <w:pPr>
        <w:jc w:val="both"/>
        <w:rPr>
          <w:rFonts w:ascii="Arial" w:hAnsi="Arial" w:cs="Arial"/>
        </w:rPr>
      </w:pPr>
      <w:r w:rsidRPr="7A2E325E">
        <w:rPr>
          <w:rFonts w:ascii="Arial" w:hAnsi="Arial" w:cs="Arial"/>
        </w:rPr>
        <w:lastRenderedPageBreak/>
        <w:t xml:space="preserve">Commercial Development Framework – </w:t>
      </w:r>
      <w:r w:rsidR="00977C0D" w:rsidRPr="7A2E325E">
        <w:rPr>
          <w:rFonts w:ascii="Arial" w:hAnsi="Arial" w:cs="Arial"/>
        </w:rPr>
        <w:t>was completed in early 2021</w:t>
      </w:r>
      <w:r w:rsidRPr="7A2E325E">
        <w:rPr>
          <w:rFonts w:ascii="Arial" w:hAnsi="Arial" w:cs="Arial"/>
        </w:rPr>
        <w:t xml:space="preserve"> and is being utilised to inform enquiries and the site development</w:t>
      </w:r>
      <w:r w:rsidR="009A48C4" w:rsidRPr="7A2E325E">
        <w:rPr>
          <w:rFonts w:ascii="Arial" w:hAnsi="Arial" w:cs="Arial"/>
        </w:rPr>
        <w:t xml:space="preserve">, </w:t>
      </w:r>
      <w:r w:rsidR="00FD1197" w:rsidRPr="7A2E325E">
        <w:rPr>
          <w:rFonts w:ascii="Arial" w:hAnsi="Arial" w:cs="Arial"/>
        </w:rPr>
        <w:t xml:space="preserve">delivery </w:t>
      </w:r>
      <w:r w:rsidR="00DC7B5B" w:rsidRPr="7A2E325E">
        <w:rPr>
          <w:rFonts w:ascii="Arial" w:hAnsi="Arial" w:cs="Arial"/>
        </w:rPr>
        <w:t xml:space="preserve">&amp; planning </w:t>
      </w:r>
      <w:r w:rsidRPr="7A2E325E">
        <w:rPr>
          <w:rFonts w:ascii="Arial" w:hAnsi="Arial" w:cs="Arial"/>
        </w:rPr>
        <w:t>strategy</w:t>
      </w:r>
      <w:r w:rsidR="009A48C4" w:rsidRPr="7A2E325E">
        <w:rPr>
          <w:rFonts w:ascii="Arial" w:hAnsi="Arial" w:cs="Arial"/>
        </w:rPr>
        <w:t xml:space="preserve"> and enquiry handling</w:t>
      </w:r>
      <w:r w:rsidRPr="7A2E325E">
        <w:rPr>
          <w:rFonts w:ascii="Arial" w:hAnsi="Arial" w:cs="Arial"/>
        </w:rPr>
        <w:t xml:space="preserve">. </w:t>
      </w:r>
    </w:p>
    <w:p w14:paraId="3C9BC20C" w14:textId="323AA566" w:rsidR="00234F95" w:rsidRDefault="00EF6793" w:rsidP="492E44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73F3C">
        <w:rPr>
          <w:rFonts w:ascii="Arial" w:hAnsi="Arial" w:cs="Arial"/>
        </w:rPr>
        <w:t xml:space="preserve">circa 40acre </w:t>
      </w:r>
      <w:r w:rsidR="007129DE">
        <w:rPr>
          <w:rFonts w:ascii="Arial" w:hAnsi="Arial" w:cs="Arial"/>
        </w:rPr>
        <w:t xml:space="preserve">Zone C works programme, the </w:t>
      </w:r>
      <w:r w:rsidR="00573F3C">
        <w:rPr>
          <w:rFonts w:ascii="Arial" w:hAnsi="Arial" w:cs="Arial"/>
        </w:rPr>
        <w:t>single</w:t>
      </w:r>
      <w:r w:rsidR="007129DE">
        <w:rPr>
          <w:rFonts w:ascii="Arial" w:hAnsi="Arial" w:cs="Arial"/>
        </w:rPr>
        <w:t xml:space="preserve"> largest plot on the site</w:t>
      </w:r>
      <w:r w:rsidR="0006015F">
        <w:rPr>
          <w:rFonts w:ascii="Arial" w:hAnsi="Arial" w:cs="Arial"/>
        </w:rPr>
        <w:t xml:space="preserve"> is currently being planned </w:t>
      </w:r>
      <w:r w:rsidR="00573F3C">
        <w:rPr>
          <w:rFonts w:ascii="Arial" w:hAnsi="Arial" w:cs="Arial"/>
        </w:rPr>
        <w:t xml:space="preserve">in close liaison with interested occupiers </w:t>
      </w:r>
      <w:r w:rsidR="00921E66">
        <w:rPr>
          <w:rFonts w:ascii="Arial" w:hAnsi="Arial" w:cs="Arial"/>
        </w:rPr>
        <w:t>to mitigate any risk of abortive works</w:t>
      </w:r>
      <w:r w:rsidR="006F15AB">
        <w:rPr>
          <w:rFonts w:ascii="Arial" w:hAnsi="Arial" w:cs="Arial"/>
        </w:rPr>
        <w:t xml:space="preserve"> </w:t>
      </w:r>
      <w:r w:rsidR="0006015F">
        <w:rPr>
          <w:rFonts w:ascii="Arial" w:hAnsi="Arial" w:cs="Arial"/>
        </w:rPr>
        <w:t xml:space="preserve">and </w:t>
      </w:r>
      <w:r w:rsidR="005D1552">
        <w:rPr>
          <w:rFonts w:ascii="Arial" w:hAnsi="Arial" w:cs="Arial"/>
        </w:rPr>
        <w:t>subject to confirmation</w:t>
      </w:r>
      <w:r w:rsidR="006F15AB">
        <w:rPr>
          <w:rFonts w:ascii="Arial" w:hAnsi="Arial" w:cs="Arial"/>
        </w:rPr>
        <w:t xml:space="preserve"> and </w:t>
      </w:r>
      <w:r w:rsidR="005D1552">
        <w:rPr>
          <w:rFonts w:ascii="Arial" w:hAnsi="Arial" w:cs="Arial"/>
        </w:rPr>
        <w:t>tendering packages being in place</w:t>
      </w:r>
      <w:r w:rsidR="006F15AB">
        <w:rPr>
          <w:rFonts w:ascii="Arial" w:hAnsi="Arial" w:cs="Arial"/>
        </w:rPr>
        <w:t xml:space="preserve">, works </w:t>
      </w:r>
      <w:r w:rsidR="0006015F">
        <w:rPr>
          <w:rFonts w:ascii="Arial" w:hAnsi="Arial" w:cs="Arial"/>
        </w:rPr>
        <w:t xml:space="preserve">will potentially commence on site in April 2022. </w:t>
      </w:r>
      <w:r w:rsidR="00E71B7C">
        <w:rPr>
          <w:rFonts w:ascii="Arial" w:hAnsi="Arial" w:cs="Arial"/>
        </w:rPr>
        <w:t xml:space="preserve">Further detailed reports </w:t>
      </w:r>
      <w:r w:rsidR="007C53CF">
        <w:rPr>
          <w:rFonts w:ascii="Arial" w:hAnsi="Arial" w:cs="Arial"/>
        </w:rPr>
        <w:t xml:space="preserve">will be </w:t>
      </w:r>
      <w:r w:rsidR="00E71B7C">
        <w:rPr>
          <w:rFonts w:ascii="Arial" w:hAnsi="Arial" w:cs="Arial"/>
        </w:rPr>
        <w:t>presented to the Enterprise Zone Governance Committee</w:t>
      </w:r>
      <w:r w:rsidR="006F15AB">
        <w:rPr>
          <w:rFonts w:ascii="Arial" w:hAnsi="Arial" w:cs="Arial"/>
        </w:rPr>
        <w:t>.</w:t>
      </w:r>
    </w:p>
    <w:p w14:paraId="39F4ADBE" w14:textId="26F2B1A8" w:rsidR="00A90C33" w:rsidRPr="005A6458" w:rsidRDefault="00EF6793" w:rsidP="492E44A7">
      <w:pPr>
        <w:jc w:val="both"/>
        <w:rPr>
          <w:rFonts w:ascii="Arial" w:hAnsi="Arial" w:cs="Arial"/>
        </w:rPr>
      </w:pPr>
      <w:r w:rsidRPr="005A6458">
        <w:rPr>
          <w:rFonts w:ascii="Arial" w:hAnsi="Arial" w:cs="Arial"/>
        </w:rPr>
        <w:t>Enqu</w:t>
      </w:r>
      <w:r w:rsidR="005A6458" w:rsidRPr="005A6458">
        <w:rPr>
          <w:rFonts w:ascii="Arial" w:hAnsi="Arial" w:cs="Arial"/>
        </w:rPr>
        <w:t>iries</w:t>
      </w:r>
      <w:r w:rsidRPr="005A6458">
        <w:rPr>
          <w:rFonts w:ascii="Arial" w:hAnsi="Arial" w:cs="Arial"/>
        </w:rPr>
        <w:t xml:space="preserve"> - </w:t>
      </w:r>
      <w:r w:rsidR="00223C59" w:rsidRPr="005A6458">
        <w:rPr>
          <w:rFonts w:ascii="Arial" w:hAnsi="Arial" w:cs="Arial"/>
        </w:rPr>
        <w:t>A range of major enqui</w:t>
      </w:r>
      <w:r w:rsidR="00530F1B" w:rsidRPr="005A6458">
        <w:rPr>
          <w:rFonts w:ascii="Arial" w:hAnsi="Arial" w:cs="Arial"/>
        </w:rPr>
        <w:t xml:space="preserve">ries are </w:t>
      </w:r>
      <w:r w:rsidR="14502F05" w:rsidRPr="005A6458">
        <w:rPr>
          <w:rFonts w:ascii="Arial" w:hAnsi="Arial" w:cs="Arial"/>
        </w:rPr>
        <w:t xml:space="preserve">currently being </w:t>
      </w:r>
      <w:r w:rsidR="00530F1B" w:rsidRPr="005A6458">
        <w:rPr>
          <w:rFonts w:ascii="Arial" w:hAnsi="Arial" w:cs="Arial"/>
        </w:rPr>
        <w:t xml:space="preserve">pro-actively </w:t>
      </w:r>
      <w:r w:rsidR="14502F05" w:rsidRPr="005A6458">
        <w:rPr>
          <w:rFonts w:ascii="Arial" w:hAnsi="Arial" w:cs="Arial"/>
        </w:rPr>
        <w:t xml:space="preserve">handled, and interest </w:t>
      </w:r>
      <w:r w:rsidR="092ABB1B" w:rsidRPr="005A6458">
        <w:rPr>
          <w:rFonts w:ascii="Arial" w:hAnsi="Arial" w:cs="Arial"/>
        </w:rPr>
        <w:t>i</w:t>
      </w:r>
      <w:r w:rsidR="14502F05" w:rsidRPr="005A6458">
        <w:rPr>
          <w:rFonts w:ascii="Arial" w:hAnsi="Arial" w:cs="Arial"/>
        </w:rPr>
        <w:t xml:space="preserve">n the site remains </w:t>
      </w:r>
      <w:r w:rsidR="00FD1197">
        <w:rPr>
          <w:rFonts w:ascii="Arial" w:hAnsi="Arial" w:cs="Arial"/>
        </w:rPr>
        <w:t xml:space="preserve">very </w:t>
      </w:r>
      <w:r w:rsidR="14502F05" w:rsidRPr="005A6458">
        <w:rPr>
          <w:rFonts w:ascii="Arial" w:hAnsi="Arial" w:cs="Arial"/>
        </w:rPr>
        <w:t>strong despite market disruption caused by Covid-19.</w:t>
      </w:r>
      <w:r>
        <w:rPr>
          <w:rFonts w:ascii="Arial" w:hAnsi="Arial" w:cs="Arial"/>
        </w:rPr>
        <w:t xml:space="preserve"> A Joint Commercial Agent approach to the Enterpris</w:t>
      </w:r>
      <w:r w:rsidR="00432F11">
        <w:rPr>
          <w:rFonts w:ascii="Arial" w:hAnsi="Arial" w:cs="Arial"/>
        </w:rPr>
        <w:t>e Zones is in place through Colliers International</w:t>
      </w:r>
      <w:r w:rsidR="002E05A3">
        <w:rPr>
          <w:rFonts w:ascii="Arial" w:hAnsi="Arial" w:cs="Arial"/>
        </w:rPr>
        <w:t xml:space="preserve"> and a range of enquiries </w:t>
      </w:r>
      <w:r w:rsidR="005C7DC3">
        <w:rPr>
          <w:rFonts w:ascii="Arial" w:hAnsi="Arial" w:cs="Arial"/>
        </w:rPr>
        <w:t xml:space="preserve">are actively being pursued within </w:t>
      </w:r>
      <w:r w:rsidR="00254796">
        <w:rPr>
          <w:rFonts w:ascii="Arial" w:hAnsi="Arial" w:cs="Arial"/>
        </w:rPr>
        <w:t>sectors</w:t>
      </w:r>
      <w:r w:rsidR="003C2536">
        <w:rPr>
          <w:rFonts w:ascii="Arial" w:hAnsi="Arial" w:cs="Arial"/>
        </w:rPr>
        <w:t xml:space="preserve"> including </w:t>
      </w:r>
      <w:r w:rsidR="00F021FD">
        <w:rPr>
          <w:rFonts w:ascii="Arial" w:hAnsi="Arial" w:cs="Arial"/>
        </w:rPr>
        <w:t>high tech</w:t>
      </w:r>
      <w:r w:rsidR="003C2536">
        <w:rPr>
          <w:rFonts w:ascii="Arial" w:hAnsi="Arial" w:cs="Arial"/>
        </w:rPr>
        <w:t>nology</w:t>
      </w:r>
      <w:r w:rsidR="00F021FD">
        <w:rPr>
          <w:rFonts w:ascii="Arial" w:hAnsi="Arial" w:cs="Arial"/>
        </w:rPr>
        <w:t xml:space="preserve">, </w:t>
      </w:r>
      <w:r w:rsidR="00ED6319">
        <w:rPr>
          <w:rFonts w:ascii="Arial" w:hAnsi="Arial" w:cs="Arial"/>
        </w:rPr>
        <w:t xml:space="preserve">innovation, </w:t>
      </w:r>
      <w:r w:rsidR="00F021FD">
        <w:rPr>
          <w:rFonts w:ascii="Arial" w:hAnsi="Arial" w:cs="Arial"/>
        </w:rPr>
        <w:t>research</w:t>
      </w:r>
      <w:r w:rsidR="003C2536">
        <w:rPr>
          <w:rFonts w:ascii="Arial" w:hAnsi="Arial" w:cs="Arial"/>
        </w:rPr>
        <w:t>/development</w:t>
      </w:r>
      <w:r w:rsidR="00ED6319">
        <w:rPr>
          <w:rFonts w:ascii="Arial" w:hAnsi="Arial" w:cs="Arial"/>
        </w:rPr>
        <w:t xml:space="preserve"> </w:t>
      </w:r>
      <w:r w:rsidR="003C2536">
        <w:rPr>
          <w:rFonts w:ascii="Arial" w:hAnsi="Arial" w:cs="Arial"/>
        </w:rPr>
        <w:t>and advanced manufacturing</w:t>
      </w:r>
      <w:r w:rsidR="00254796">
        <w:rPr>
          <w:rFonts w:ascii="Arial" w:hAnsi="Arial" w:cs="Arial"/>
        </w:rPr>
        <w:t xml:space="preserve">. </w:t>
      </w:r>
      <w:r w:rsidR="00ED6319">
        <w:rPr>
          <w:rFonts w:ascii="Arial" w:hAnsi="Arial" w:cs="Arial"/>
        </w:rPr>
        <w:t>Th</w:t>
      </w:r>
      <w:r w:rsidR="007B4B1B">
        <w:rPr>
          <w:rFonts w:ascii="Arial" w:hAnsi="Arial" w:cs="Arial"/>
        </w:rPr>
        <w:t xml:space="preserve">is reflects the Local Development Order status </w:t>
      </w:r>
      <w:r w:rsidR="004743F2">
        <w:rPr>
          <w:rFonts w:ascii="Arial" w:hAnsi="Arial" w:cs="Arial"/>
        </w:rPr>
        <w:t>whilst ensuring uses are in line with major enquiry interest and the site's international significance.</w:t>
      </w:r>
      <w:r w:rsidR="00254796">
        <w:rPr>
          <w:rFonts w:ascii="Arial" w:hAnsi="Arial" w:cs="Arial"/>
        </w:rPr>
        <w:t xml:space="preserve"> Th</w:t>
      </w:r>
      <w:r w:rsidR="00DB0126">
        <w:rPr>
          <w:rFonts w:ascii="Arial" w:hAnsi="Arial" w:cs="Arial"/>
        </w:rPr>
        <w:t>e ambition remains to aim high and deliver development that represents key sectors as outlined above.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560"/>
        <w:gridCol w:w="850"/>
      </w:tblGrid>
      <w:tr w:rsidR="00F962F8" w14:paraId="211FEFF7" w14:textId="77777777" w:rsidTr="005A6458">
        <w:tc>
          <w:tcPr>
            <w:tcW w:w="5103" w:type="dxa"/>
          </w:tcPr>
          <w:p w14:paraId="194FC07E" w14:textId="3FD54D69" w:rsidR="0008592F" w:rsidRPr="005A6458" w:rsidRDefault="00EF6793" w:rsidP="00070479">
            <w:pPr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>KPI Performance</w:t>
            </w:r>
          </w:p>
        </w:tc>
        <w:tc>
          <w:tcPr>
            <w:tcW w:w="1701" w:type="dxa"/>
          </w:tcPr>
          <w:p w14:paraId="239850AE" w14:textId="77777777" w:rsidR="00FF0D74" w:rsidRPr="005A6458" w:rsidRDefault="00EF6793" w:rsidP="00FF0D74">
            <w:pPr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>Targets</w:t>
            </w:r>
          </w:p>
          <w:p w14:paraId="255BF1D0" w14:textId="77777777" w:rsidR="0008592F" w:rsidRPr="005A6458" w:rsidRDefault="00EF6793" w:rsidP="006D34BE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(</w:t>
            </w:r>
            <w:r w:rsidR="00FF0D74" w:rsidRPr="005A6458">
              <w:rPr>
                <w:rFonts w:ascii="Arial" w:hAnsi="Arial" w:cs="Arial"/>
              </w:rPr>
              <w:t xml:space="preserve">to 2029/30) </w:t>
            </w:r>
          </w:p>
        </w:tc>
        <w:tc>
          <w:tcPr>
            <w:tcW w:w="1560" w:type="dxa"/>
          </w:tcPr>
          <w:p w14:paraId="535880CB" w14:textId="77777777" w:rsidR="00FF0D74" w:rsidRPr="005A6458" w:rsidRDefault="00EF6793" w:rsidP="00070479">
            <w:pPr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 xml:space="preserve">Actuals </w:t>
            </w:r>
          </w:p>
          <w:p w14:paraId="0551C97C" w14:textId="00F97C77" w:rsidR="0008592F" w:rsidRPr="005A6458" w:rsidRDefault="00EF6793" w:rsidP="006D34BE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(</w:t>
            </w:r>
            <w:r w:rsidR="004E6D56" w:rsidRPr="005A6458">
              <w:rPr>
                <w:rFonts w:ascii="Arial" w:hAnsi="Arial" w:cs="Arial"/>
              </w:rPr>
              <w:t>Qtr.</w:t>
            </w:r>
            <w:r w:rsidR="001A5091">
              <w:rPr>
                <w:rFonts w:ascii="Arial" w:hAnsi="Arial" w:cs="Arial"/>
              </w:rPr>
              <w:t>3</w:t>
            </w:r>
            <w:r w:rsidRPr="005A6458">
              <w:rPr>
                <w:rFonts w:ascii="Arial" w:hAnsi="Arial" w:cs="Arial"/>
              </w:rPr>
              <w:t xml:space="preserve"> </w:t>
            </w:r>
            <w:r w:rsidR="009C73F8">
              <w:rPr>
                <w:rFonts w:ascii="Arial" w:hAnsi="Arial" w:cs="Arial"/>
              </w:rPr>
              <w:t>21</w:t>
            </w:r>
            <w:r w:rsidR="001A5091">
              <w:rPr>
                <w:rFonts w:ascii="Arial" w:hAnsi="Arial" w:cs="Arial"/>
              </w:rPr>
              <w:t>/22</w:t>
            </w:r>
            <w:r w:rsidRPr="005A6458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14:paraId="2DAB5671" w14:textId="77777777" w:rsidR="0008592F" w:rsidRPr="005A6458" w:rsidRDefault="00EF6793" w:rsidP="00070479">
            <w:pPr>
              <w:jc w:val="both"/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>RAG</w:t>
            </w:r>
          </w:p>
        </w:tc>
      </w:tr>
      <w:tr w:rsidR="00F962F8" w14:paraId="15CDCCCA" w14:textId="77777777" w:rsidTr="005A6458">
        <w:tc>
          <w:tcPr>
            <w:tcW w:w="5103" w:type="dxa"/>
          </w:tcPr>
          <w:p w14:paraId="61459212" w14:textId="77777777" w:rsidR="0008592F" w:rsidRPr="005A6458" w:rsidRDefault="00EF6793" w:rsidP="00FF0D74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New commercial </w:t>
            </w:r>
            <w:r w:rsidR="00584AA7" w:rsidRPr="005A6458">
              <w:rPr>
                <w:rFonts w:ascii="Arial" w:hAnsi="Arial" w:cs="Arial"/>
              </w:rPr>
              <w:t>floor space</w:t>
            </w:r>
          </w:p>
        </w:tc>
        <w:tc>
          <w:tcPr>
            <w:tcW w:w="1701" w:type="dxa"/>
          </w:tcPr>
          <w:p w14:paraId="4501B759" w14:textId="77777777" w:rsidR="0008592F" w:rsidRPr="005A6458" w:rsidRDefault="00EF6793" w:rsidP="006D34BE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125,352 </w:t>
            </w:r>
            <w:r w:rsidR="004E6D56" w:rsidRPr="005A6458">
              <w:rPr>
                <w:rFonts w:ascii="Arial" w:hAnsi="Arial" w:cs="Arial"/>
              </w:rPr>
              <w:t>sq</w:t>
            </w:r>
            <w:r w:rsidRPr="005A6458">
              <w:rPr>
                <w:rFonts w:ascii="Arial" w:hAnsi="Arial" w:cs="Arial"/>
              </w:rPr>
              <w:t xml:space="preserve">m </w:t>
            </w:r>
          </w:p>
        </w:tc>
        <w:tc>
          <w:tcPr>
            <w:tcW w:w="1560" w:type="dxa"/>
          </w:tcPr>
          <w:p w14:paraId="6DE3A001" w14:textId="77777777" w:rsidR="0008592F" w:rsidRPr="005A6458" w:rsidRDefault="00EF6793" w:rsidP="006D34BE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22,400 </w:t>
            </w:r>
            <w:r w:rsidR="004E6D56" w:rsidRPr="005A6458">
              <w:rPr>
                <w:rFonts w:ascii="Arial" w:hAnsi="Arial" w:cs="Arial"/>
              </w:rPr>
              <w:t>sq</w:t>
            </w:r>
            <w:r w:rsidR="006D34BE" w:rsidRPr="005A6458">
              <w:rPr>
                <w:rFonts w:ascii="Arial" w:hAnsi="Arial" w:cs="Arial"/>
              </w:rPr>
              <w:t>m</w:t>
            </w:r>
            <w:r w:rsidR="00E20B35" w:rsidRPr="005A6458">
              <w:rPr>
                <w:rFonts w:ascii="Arial" w:hAnsi="Arial" w:cs="Arial"/>
              </w:rPr>
              <w:t xml:space="preserve"> </w:t>
            </w:r>
            <w:r w:rsidRPr="005A64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92D050"/>
          </w:tcPr>
          <w:p w14:paraId="507E3BED" w14:textId="77777777" w:rsidR="0008592F" w:rsidRPr="005A6458" w:rsidRDefault="0008592F" w:rsidP="00070479">
            <w:pPr>
              <w:rPr>
                <w:rFonts w:ascii="Arial" w:hAnsi="Arial" w:cs="Arial"/>
              </w:rPr>
            </w:pPr>
          </w:p>
        </w:tc>
      </w:tr>
      <w:tr w:rsidR="00F962F8" w14:paraId="59B66961" w14:textId="77777777" w:rsidTr="005A6458">
        <w:tc>
          <w:tcPr>
            <w:tcW w:w="5103" w:type="dxa"/>
          </w:tcPr>
          <w:p w14:paraId="1336251F" w14:textId="77777777" w:rsidR="0008592F" w:rsidRPr="005A6458" w:rsidRDefault="00EF6793" w:rsidP="00FF0D74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New jobs created</w:t>
            </w:r>
          </w:p>
        </w:tc>
        <w:tc>
          <w:tcPr>
            <w:tcW w:w="1701" w:type="dxa"/>
          </w:tcPr>
          <w:p w14:paraId="1F3AD188" w14:textId="77777777" w:rsidR="0008592F" w:rsidRPr="005A6458" w:rsidRDefault="00EF6793" w:rsidP="00FF0D74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2,528</w:t>
            </w:r>
          </w:p>
        </w:tc>
        <w:tc>
          <w:tcPr>
            <w:tcW w:w="1560" w:type="dxa"/>
          </w:tcPr>
          <w:p w14:paraId="2E851BE2" w14:textId="77777777" w:rsidR="0008592F" w:rsidRPr="005A6458" w:rsidRDefault="00EF6793" w:rsidP="00FF0D74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200</w:t>
            </w:r>
            <w:r w:rsidR="00254FA7" w:rsidRPr="005A6458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shd w:val="clear" w:color="auto" w:fill="92D050"/>
          </w:tcPr>
          <w:p w14:paraId="438B7FE6" w14:textId="77777777" w:rsidR="0008592F" w:rsidRPr="005A6458" w:rsidRDefault="0008592F" w:rsidP="00070479">
            <w:pPr>
              <w:rPr>
                <w:rFonts w:ascii="Arial" w:hAnsi="Arial" w:cs="Arial"/>
              </w:rPr>
            </w:pPr>
          </w:p>
        </w:tc>
      </w:tr>
      <w:tr w:rsidR="00F962F8" w14:paraId="17B05723" w14:textId="77777777" w:rsidTr="0027781B">
        <w:tc>
          <w:tcPr>
            <w:tcW w:w="5103" w:type="dxa"/>
          </w:tcPr>
          <w:p w14:paraId="45F58B60" w14:textId="77777777" w:rsidR="0008592F" w:rsidRPr="005A6458" w:rsidRDefault="00EF6793" w:rsidP="00E20B35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Utility construction project complete  </w:t>
            </w:r>
          </w:p>
        </w:tc>
        <w:tc>
          <w:tcPr>
            <w:tcW w:w="1701" w:type="dxa"/>
          </w:tcPr>
          <w:p w14:paraId="77F0B33E" w14:textId="77777777" w:rsidR="0008592F" w:rsidRPr="005A6458" w:rsidRDefault="00EF6793" w:rsidP="00070479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</w:tcPr>
          <w:p w14:paraId="68195BC4" w14:textId="7C88B5A8" w:rsidR="0008592F" w:rsidRPr="005A6458" w:rsidRDefault="00EF6793" w:rsidP="00070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FFC000"/>
          </w:tcPr>
          <w:p w14:paraId="2FE24CFD" w14:textId="77777777" w:rsidR="0008592F" w:rsidRPr="005A6458" w:rsidRDefault="0008592F" w:rsidP="00070479">
            <w:pPr>
              <w:rPr>
                <w:rFonts w:ascii="Arial" w:hAnsi="Arial" w:cs="Arial"/>
              </w:rPr>
            </w:pPr>
          </w:p>
        </w:tc>
      </w:tr>
      <w:tr w:rsidR="00F962F8" w14:paraId="20858B84" w14:textId="77777777" w:rsidTr="003B7D74">
        <w:tc>
          <w:tcPr>
            <w:tcW w:w="5103" w:type="dxa"/>
          </w:tcPr>
          <w:p w14:paraId="630B894B" w14:textId="77777777" w:rsidR="0008592F" w:rsidRPr="005A6458" w:rsidRDefault="00EF6793" w:rsidP="006D34BE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Public Sector Investment (</w:t>
            </w:r>
            <w:r w:rsidR="00E20B35" w:rsidRPr="005A6458">
              <w:rPr>
                <w:rFonts w:ascii="Arial" w:hAnsi="Arial" w:cs="Arial"/>
              </w:rPr>
              <w:t xml:space="preserve">site-wide </w:t>
            </w:r>
            <w:r w:rsidRPr="005A6458">
              <w:rPr>
                <w:rFonts w:ascii="Arial" w:hAnsi="Arial" w:cs="Arial"/>
              </w:rPr>
              <w:t>infrastructure)</w:t>
            </w:r>
          </w:p>
        </w:tc>
        <w:tc>
          <w:tcPr>
            <w:tcW w:w="1701" w:type="dxa"/>
            <w:shd w:val="clear" w:color="auto" w:fill="auto"/>
          </w:tcPr>
          <w:p w14:paraId="4C9EE932" w14:textId="20CCC6F6" w:rsidR="0008592F" w:rsidRPr="003B7D74" w:rsidRDefault="00EF6793" w:rsidP="00C941E0">
            <w:pPr>
              <w:rPr>
                <w:rFonts w:ascii="Arial" w:hAnsi="Arial" w:cs="Arial"/>
              </w:rPr>
            </w:pPr>
            <w:r w:rsidRPr="003B7D74">
              <w:rPr>
                <w:rFonts w:ascii="Arial" w:hAnsi="Arial" w:cs="Arial"/>
              </w:rPr>
              <w:t>£</w:t>
            </w:r>
            <w:r w:rsidR="00C941E0" w:rsidRPr="003B7D74">
              <w:rPr>
                <w:rFonts w:ascii="Arial" w:hAnsi="Arial" w:cs="Arial"/>
              </w:rPr>
              <w:t>28</w:t>
            </w:r>
            <w:r w:rsidRPr="003B7D74">
              <w:rPr>
                <w:rFonts w:ascii="Arial" w:hAnsi="Arial" w:cs="Arial"/>
              </w:rPr>
              <w:t>.8m</w:t>
            </w:r>
            <w:r w:rsidR="009F3461" w:rsidRPr="003B7D74">
              <w:rPr>
                <w:rFonts w:ascii="Arial" w:hAnsi="Arial" w:cs="Arial"/>
              </w:rPr>
              <w:t xml:space="preserve"> ***</w:t>
            </w:r>
          </w:p>
        </w:tc>
        <w:tc>
          <w:tcPr>
            <w:tcW w:w="1560" w:type="dxa"/>
          </w:tcPr>
          <w:p w14:paraId="07651309" w14:textId="23ADDFD9" w:rsidR="0008592F" w:rsidRPr="005A6458" w:rsidRDefault="00EF6793" w:rsidP="00451D72">
            <w:pPr>
              <w:rPr>
                <w:rFonts w:ascii="Arial" w:hAnsi="Arial" w:cs="Arial"/>
              </w:rPr>
            </w:pPr>
            <w:r w:rsidRPr="00F5016A">
              <w:rPr>
                <w:rFonts w:ascii="Arial" w:hAnsi="Arial" w:cs="Arial"/>
              </w:rPr>
              <w:t>£</w:t>
            </w:r>
            <w:r w:rsidR="001A5091">
              <w:rPr>
                <w:rFonts w:ascii="Arial" w:hAnsi="Arial" w:cs="Arial"/>
              </w:rPr>
              <w:t>16.83</w:t>
            </w:r>
            <w:r w:rsidR="004A6BA2" w:rsidRPr="00F5016A">
              <w:rPr>
                <w:rFonts w:ascii="Arial" w:hAnsi="Arial" w:cs="Arial"/>
              </w:rPr>
              <w:t>m</w:t>
            </w:r>
            <w:r w:rsidR="00EB4CB5" w:rsidRPr="00F5016A">
              <w:rPr>
                <w:rFonts w:ascii="Arial" w:hAnsi="Arial" w:cs="Arial"/>
              </w:rPr>
              <w:t>*</w:t>
            </w:r>
            <w:r w:rsidR="00254FA7" w:rsidRPr="00F5016A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shd w:val="clear" w:color="auto" w:fill="92D050"/>
          </w:tcPr>
          <w:p w14:paraId="4B97FB03" w14:textId="77777777" w:rsidR="0008592F" w:rsidRPr="005A6458" w:rsidRDefault="0008592F" w:rsidP="00070479">
            <w:pPr>
              <w:rPr>
                <w:rFonts w:ascii="Arial" w:hAnsi="Arial" w:cs="Arial"/>
              </w:rPr>
            </w:pPr>
          </w:p>
        </w:tc>
      </w:tr>
      <w:tr w:rsidR="00F962F8" w14:paraId="7CCCD4E0" w14:textId="77777777" w:rsidTr="005A6458">
        <w:tc>
          <w:tcPr>
            <w:tcW w:w="5103" w:type="dxa"/>
          </w:tcPr>
          <w:p w14:paraId="3E46103C" w14:textId="489E7A15" w:rsidR="006A61BF" w:rsidRPr="005A6458" w:rsidRDefault="00EF6793" w:rsidP="006D34BE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Private Sector Investment </w:t>
            </w:r>
            <w:r w:rsidR="006D34BE" w:rsidRPr="005A6458">
              <w:rPr>
                <w:rFonts w:ascii="Arial" w:hAnsi="Arial" w:cs="Arial"/>
              </w:rPr>
              <w:t>-</w:t>
            </w:r>
            <w:r w:rsidR="001A5091">
              <w:rPr>
                <w:rFonts w:ascii="Arial" w:hAnsi="Arial" w:cs="Arial"/>
              </w:rPr>
              <w:t xml:space="preserve"> </w:t>
            </w:r>
            <w:r w:rsidRPr="005A6458">
              <w:rPr>
                <w:rFonts w:ascii="Arial" w:hAnsi="Arial" w:cs="Arial"/>
              </w:rPr>
              <w:t>BAE</w:t>
            </w:r>
            <w:r w:rsidR="00187CCC" w:rsidRPr="005A6458">
              <w:rPr>
                <w:rFonts w:ascii="Arial" w:hAnsi="Arial" w:cs="Arial"/>
              </w:rPr>
              <w:t xml:space="preserve"> £42m &amp; Utility </w:t>
            </w:r>
            <w:r w:rsidR="006D34BE" w:rsidRPr="005A6458">
              <w:rPr>
                <w:rFonts w:ascii="Arial" w:hAnsi="Arial" w:cs="Arial"/>
              </w:rPr>
              <w:t>£</w:t>
            </w:r>
            <w:r w:rsidR="00187CCC" w:rsidRPr="005A6458">
              <w:rPr>
                <w:rFonts w:ascii="Arial" w:hAnsi="Arial" w:cs="Arial"/>
              </w:rPr>
              <w:t>7m</w:t>
            </w:r>
          </w:p>
        </w:tc>
        <w:tc>
          <w:tcPr>
            <w:tcW w:w="1701" w:type="dxa"/>
          </w:tcPr>
          <w:p w14:paraId="20E99A00" w14:textId="77777777" w:rsidR="006A61BF" w:rsidRPr="00F5016A" w:rsidRDefault="00EF6793" w:rsidP="00187CCC">
            <w:pPr>
              <w:rPr>
                <w:rFonts w:ascii="Arial" w:hAnsi="Arial" w:cs="Arial"/>
              </w:rPr>
            </w:pPr>
            <w:r w:rsidRPr="00F5016A">
              <w:rPr>
                <w:rFonts w:ascii="Arial" w:hAnsi="Arial" w:cs="Arial"/>
              </w:rPr>
              <w:t>£4</w:t>
            </w:r>
            <w:r w:rsidR="00187CCC" w:rsidRPr="00F5016A">
              <w:rPr>
                <w:rFonts w:ascii="Arial" w:hAnsi="Arial" w:cs="Arial"/>
              </w:rPr>
              <w:t>9</w:t>
            </w:r>
            <w:r w:rsidRPr="00F5016A">
              <w:rPr>
                <w:rFonts w:ascii="Arial" w:hAnsi="Arial" w:cs="Arial"/>
              </w:rPr>
              <w:t>m</w:t>
            </w:r>
          </w:p>
        </w:tc>
        <w:tc>
          <w:tcPr>
            <w:tcW w:w="1560" w:type="dxa"/>
          </w:tcPr>
          <w:p w14:paraId="3CC5C16D" w14:textId="77777777" w:rsidR="006A61BF" w:rsidRPr="00F5016A" w:rsidRDefault="00EF6793" w:rsidP="000C5A38">
            <w:pPr>
              <w:rPr>
                <w:rFonts w:ascii="Arial" w:hAnsi="Arial" w:cs="Arial"/>
              </w:rPr>
            </w:pPr>
            <w:r w:rsidRPr="00F5016A">
              <w:rPr>
                <w:rFonts w:ascii="Arial" w:hAnsi="Arial" w:cs="Arial"/>
              </w:rPr>
              <w:t>£42m</w:t>
            </w:r>
          </w:p>
        </w:tc>
        <w:tc>
          <w:tcPr>
            <w:tcW w:w="850" w:type="dxa"/>
            <w:shd w:val="clear" w:color="auto" w:fill="92D050"/>
          </w:tcPr>
          <w:p w14:paraId="099A3AC2" w14:textId="77777777" w:rsidR="006A61BF" w:rsidRPr="005A6458" w:rsidRDefault="006A61BF" w:rsidP="00070479">
            <w:pPr>
              <w:rPr>
                <w:rFonts w:ascii="Arial" w:hAnsi="Arial" w:cs="Arial"/>
              </w:rPr>
            </w:pPr>
          </w:p>
        </w:tc>
      </w:tr>
    </w:tbl>
    <w:p w14:paraId="590FA29D" w14:textId="77777777" w:rsidR="00254FA7" w:rsidRPr="003B7D74" w:rsidRDefault="00EF6793" w:rsidP="00A47C0F">
      <w:pPr>
        <w:pStyle w:val="ListParagraph"/>
        <w:ind w:left="0"/>
        <w:jc w:val="both"/>
        <w:rPr>
          <w:rFonts w:ascii="Arial" w:hAnsi="Arial" w:cs="Arial"/>
        </w:rPr>
      </w:pPr>
      <w:r w:rsidRPr="005A6458">
        <w:rPr>
          <w:rFonts w:ascii="Arial" w:hAnsi="Arial" w:cs="Arial"/>
        </w:rPr>
        <w:t xml:space="preserve">* </w:t>
      </w:r>
      <w:r w:rsidRPr="003B7D74">
        <w:rPr>
          <w:rFonts w:ascii="Arial" w:hAnsi="Arial" w:cs="Arial"/>
        </w:rPr>
        <w:t xml:space="preserve">Additional to Growth Deal target </w:t>
      </w:r>
    </w:p>
    <w:p w14:paraId="47DE4A02" w14:textId="6AF99A0A" w:rsidR="00EB4CB5" w:rsidRPr="003B7D74" w:rsidRDefault="00EF6793" w:rsidP="00A47C0F">
      <w:pPr>
        <w:pStyle w:val="ListParagraph"/>
        <w:ind w:left="0"/>
        <w:jc w:val="both"/>
        <w:rPr>
          <w:rFonts w:ascii="Arial" w:hAnsi="Arial" w:cs="Arial"/>
        </w:rPr>
      </w:pPr>
      <w:r w:rsidRPr="003B7D74">
        <w:rPr>
          <w:rFonts w:ascii="Arial" w:hAnsi="Arial" w:cs="Arial"/>
        </w:rPr>
        <w:t>**</w:t>
      </w:r>
      <w:r w:rsidR="00A7740C" w:rsidRPr="003B7D74">
        <w:rPr>
          <w:rFonts w:ascii="Arial" w:hAnsi="Arial" w:cs="Arial"/>
        </w:rPr>
        <w:t xml:space="preserve"> Includes </w:t>
      </w:r>
      <w:r w:rsidRPr="003B7D74">
        <w:rPr>
          <w:rFonts w:ascii="Arial" w:hAnsi="Arial" w:cs="Arial"/>
        </w:rPr>
        <w:t>P</w:t>
      </w:r>
      <w:r w:rsidR="00A7740C" w:rsidRPr="003B7D74">
        <w:rPr>
          <w:rFonts w:ascii="Arial" w:hAnsi="Arial" w:cs="Arial"/>
        </w:rPr>
        <w:t>rudential borrowing</w:t>
      </w:r>
      <w:r w:rsidRPr="003B7D74">
        <w:rPr>
          <w:rFonts w:ascii="Arial" w:hAnsi="Arial" w:cs="Arial"/>
        </w:rPr>
        <w:t xml:space="preserve"> for initial costs of new road and infrastructure</w:t>
      </w:r>
      <w:bookmarkEnd w:id="1"/>
    </w:p>
    <w:p w14:paraId="04976733" w14:textId="2C595330" w:rsidR="009F3461" w:rsidRPr="005A6458" w:rsidRDefault="00EF6793" w:rsidP="00A47C0F">
      <w:pPr>
        <w:pStyle w:val="ListParagraph"/>
        <w:ind w:left="0"/>
        <w:jc w:val="both"/>
        <w:rPr>
          <w:rFonts w:ascii="Arial" w:hAnsi="Arial" w:cs="Arial"/>
        </w:rPr>
      </w:pPr>
      <w:r w:rsidRPr="003B7D74">
        <w:rPr>
          <w:rFonts w:ascii="Arial" w:hAnsi="Arial" w:cs="Arial"/>
        </w:rPr>
        <w:t>*** Original target remains, current forecast is to exceed this original target</w:t>
      </w:r>
    </w:p>
    <w:p w14:paraId="35CA1AED" w14:textId="77777777" w:rsidR="006376E5" w:rsidRPr="005A6458" w:rsidRDefault="006376E5" w:rsidP="00A47C0F">
      <w:pPr>
        <w:pStyle w:val="ListParagraph"/>
        <w:ind w:left="0"/>
        <w:jc w:val="both"/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890"/>
        <w:gridCol w:w="1905"/>
        <w:gridCol w:w="2419"/>
      </w:tblGrid>
      <w:tr w:rsidR="00F962F8" w14:paraId="7683A7AB" w14:textId="107013FE" w:rsidTr="000F00C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C5DD" w14:textId="77777777" w:rsidR="00AA26B7" w:rsidRPr="005A6458" w:rsidRDefault="00EF6793" w:rsidP="002660DD">
            <w:pPr>
              <w:jc w:val="both"/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>Milestone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7378" w14:textId="1E0AEA8B" w:rsidR="00AA26B7" w:rsidRPr="005A6458" w:rsidRDefault="00EF6793" w:rsidP="002660DD">
            <w:pPr>
              <w:jc w:val="both"/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>Target Dates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AA60" w14:textId="7DB4C0F6" w:rsidR="00AA26B7" w:rsidRPr="005A6458" w:rsidRDefault="00EF6793" w:rsidP="002660DD">
            <w:pPr>
              <w:jc w:val="both"/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 xml:space="preserve">Achieved Date </w:t>
            </w:r>
          </w:p>
        </w:tc>
      </w:tr>
      <w:tr w:rsidR="00F962F8" w14:paraId="0B2A0030" w14:textId="5883FA11" w:rsidTr="000F00C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4C99" w14:textId="77777777" w:rsidR="00AA26B7" w:rsidRPr="005A6458" w:rsidRDefault="00EF6793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Primary sub-station design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5EA1" w14:textId="20F71B1B" w:rsidR="00AA26B7" w:rsidRPr="005A6458" w:rsidRDefault="00EF6793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May 2020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4C2B" w14:textId="5C89EC3C" w:rsidR="00AA26B7" w:rsidRPr="005A6458" w:rsidRDefault="00EF6793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</w:t>
            </w:r>
            <w:r w:rsidR="00A73584">
              <w:rPr>
                <w:rFonts w:ascii="Arial" w:hAnsi="Arial" w:cs="Arial"/>
              </w:rPr>
              <w:t>omplete</w:t>
            </w:r>
          </w:p>
        </w:tc>
      </w:tr>
      <w:tr w:rsidR="00F962F8" w14:paraId="059B1642" w14:textId="31000056" w:rsidTr="000F00C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DFAB" w14:textId="77777777" w:rsidR="00AA26B7" w:rsidRPr="005A6458" w:rsidRDefault="00EF6793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Primary sub-station planning approval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7FBC" w14:textId="42D78FB5" w:rsidR="00AA26B7" w:rsidRPr="005A6458" w:rsidRDefault="00EF6793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July 2020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09A" w14:textId="4BD448DA" w:rsidR="00AA26B7" w:rsidRPr="005A6458" w:rsidRDefault="00EF6793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</w:t>
            </w:r>
            <w:r w:rsidR="00A73584">
              <w:rPr>
                <w:rFonts w:ascii="Arial" w:hAnsi="Arial" w:cs="Arial"/>
              </w:rPr>
              <w:t>omplete</w:t>
            </w:r>
          </w:p>
        </w:tc>
      </w:tr>
      <w:tr w:rsidR="00F962F8" w14:paraId="77126E2F" w14:textId="3EFEBA39" w:rsidTr="000F00C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95FA" w14:textId="77777777" w:rsidR="00AA26B7" w:rsidRPr="005A6458" w:rsidRDefault="00EF6793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Gas main construction commenced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73E9" w14:textId="62B0F5BB" w:rsidR="00AA26B7" w:rsidRPr="005A6458" w:rsidRDefault="00EF6793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August 2020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F439" w14:textId="7FFD6A47" w:rsidR="00AA26B7" w:rsidRPr="005A6458" w:rsidRDefault="00EF6793" w:rsidP="007B6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73584">
              <w:rPr>
                <w:rFonts w:ascii="Arial" w:hAnsi="Arial" w:cs="Arial"/>
              </w:rPr>
              <w:t>omplete</w:t>
            </w:r>
          </w:p>
        </w:tc>
      </w:tr>
      <w:tr w:rsidR="00F962F8" w14:paraId="68B48B8B" w14:textId="69B80E8A" w:rsidTr="000F00CD">
        <w:trPr>
          <w:trHeight w:val="7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F84A" w14:textId="77777777" w:rsidR="00AA26B7" w:rsidRPr="005A6458" w:rsidRDefault="00EF6793" w:rsidP="002660DD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Commercial Development Framework </w:t>
            </w:r>
          </w:p>
          <w:p w14:paraId="1456E210" w14:textId="77777777" w:rsidR="00AA26B7" w:rsidRPr="005A6458" w:rsidRDefault="00EF6793" w:rsidP="002660DD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Commissioned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359C" w14:textId="39D0051D" w:rsidR="00AA26B7" w:rsidRPr="005A6458" w:rsidRDefault="00EF6793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August 2020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AA2F" w14:textId="68074229" w:rsidR="00AA26B7" w:rsidRPr="005A6458" w:rsidRDefault="00EF6793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</w:t>
            </w:r>
            <w:r w:rsidR="00A73584">
              <w:rPr>
                <w:rFonts w:ascii="Arial" w:hAnsi="Arial" w:cs="Arial"/>
              </w:rPr>
              <w:t>omplete</w:t>
            </w:r>
          </w:p>
        </w:tc>
      </w:tr>
      <w:tr w:rsidR="00F962F8" w14:paraId="14F608A1" w14:textId="4817B60C" w:rsidTr="000F00CD">
        <w:trPr>
          <w:trHeight w:val="7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4695" w14:textId="77777777" w:rsidR="00AA26B7" w:rsidRPr="005A6458" w:rsidRDefault="00EF6793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Drainage &amp; Earthworks Strategy commissioned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C255" w14:textId="7C60FEE0" w:rsidR="00AA26B7" w:rsidRPr="005A6458" w:rsidRDefault="00EF6793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August 2020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D68E" w14:textId="17E1E2A1" w:rsidR="00AA26B7" w:rsidRPr="005A6458" w:rsidRDefault="00EF6793" w:rsidP="007B6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73584">
              <w:rPr>
                <w:rFonts w:ascii="Arial" w:hAnsi="Arial" w:cs="Arial"/>
              </w:rPr>
              <w:t>omplete</w:t>
            </w:r>
          </w:p>
        </w:tc>
      </w:tr>
      <w:tr w:rsidR="00F962F8" w14:paraId="7F81794B" w14:textId="04C6EA85" w:rsidTr="000F00C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C27C" w14:textId="77777777" w:rsidR="00AA26B7" w:rsidRPr="005A6458" w:rsidRDefault="00EF6793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LCC AMRC Plot Works complete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D928" w14:textId="301ED34F" w:rsidR="00AA26B7" w:rsidRPr="005A6458" w:rsidRDefault="00EF6793" w:rsidP="007B692B">
            <w:pPr>
              <w:ind w:left="-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September 2020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721" w14:textId="3C078505" w:rsidR="00AA26B7" w:rsidRPr="005A6458" w:rsidRDefault="00EF6793" w:rsidP="007B692B">
            <w:pPr>
              <w:ind w:left="-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</w:t>
            </w:r>
            <w:r w:rsidR="00A73584">
              <w:rPr>
                <w:rFonts w:ascii="Arial" w:hAnsi="Arial" w:cs="Arial"/>
              </w:rPr>
              <w:t>omplete</w:t>
            </w:r>
          </w:p>
        </w:tc>
      </w:tr>
      <w:tr w:rsidR="00F962F8" w14:paraId="0A04A57E" w14:textId="7CF5AA45" w:rsidTr="000F00C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2111" w14:textId="77777777" w:rsidR="00AA26B7" w:rsidRPr="005A6458" w:rsidRDefault="00EF6793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Utilities orders placed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6112" w14:textId="299D41F6" w:rsidR="00AA26B7" w:rsidRPr="005A6458" w:rsidRDefault="00EF6793" w:rsidP="007B692B">
            <w:pPr>
              <w:ind w:hanging="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September 2020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EBC" w14:textId="595F3CAB" w:rsidR="00D15F37" w:rsidRPr="005A6458" w:rsidRDefault="00EF6793" w:rsidP="00D15F37">
            <w:pPr>
              <w:ind w:hanging="37"/>
              <w:rPr>
                <w:rFonts w:ascii="Arial" w:hAnsi="Arial" w:cs="Arial"/>
              </w:rPr>
            </w:pPr>
            <w:r w:rsidRPr="63C0AF30">
              <w:rPr>
                <w:rFonts w:ascii="Arial" w:hAnsi="Arial" w:cs="Arial"/>
              </w:rPr>
              <w:t>F</w:t>
            </w:r>
            <w:r w:rsidR="00A73584">
              <w:rPr>
                <w:rFonts w:ascii="Arial" w:hAnsi="Arial" w:cs="Arial"/>
              </w:rPr>
              <w:t xml:space="preserve">oul water order now expected </w:t>
            </w:r>
            <w:proofErr w:type="spellStart"/>
            <w:r w:rsidRPr="63C0AF30">
              <w:rPr>
                <w:rFonts w:ascii="Arial" w:hAnsi="Arial" w:cs="Arial"/>
              </w:rPr>
              <w:t>Q</w:t>
            </w:r>
            <w:r w:rsidR="00A73584">
              <w:rPr>
                <w:rFonts w:ascii="Arial" w:hAnsi="Arial" w:cs="Arial"/>
              </w:rPr>
              <w:t>tr</w:t>
            </w:r>
            <w:proofErr w:type="spellEnd"/>
            <w:r w:rsidR="00A73584">
              <w:rPr>
                <w:rFonts w:ascii="Arial" w:hAnsi="Arial" w:cs="Arial"/>
              </w:rPr>
              <w:t xml:space="preserve"> </w:t>
            </w:r>
            <w:r w:rsidR="1D70137C" w:rsidRPr="63C0AF30">
              <w:rPr>
                <w:rFonts w:ascii="Arial" w:hAnsi="Arial" w:cs="Arial"/>
              </w:rPr>
              <w:t>1</w:t>
            </w:r>
            <w:r w:rsidR="00A73584">
              <w:rPr>
                <w:rFonts w:ascii="Arial" w:hAnsi="Arial" w:cs="Arial"/>
              </w:rPr>
              <w:t>.</w:t>
            </w:r>
            <w:r w:rsidR="1D70137C" w:rsidRPr="63C0AF30">
              <w:rPr>
                <w:rFonts w:ascii="Arial" w:hAnsi="Arial" w:cs="Arial"/>
              </w:rPr>
              <w:t xml:space="preserve"> 22/23</w:t>
            </w:r>
            <w:r w:rsidR="729C05F5" w:rsidRPr="63C0AF30">
              <w:rPr>
                <w:rFonts w:ascii="Arial" w:hAnsi="Arial" w:cs="Arial"/>
              </w:rPr>
              <w:t xml:space="preserve"> due to changes in regulatory position from statutory undertakers </w:t>
            </w:r>
          </w:p>
        </w:tc>
      </w:tr>
      <w:tr w:rsidR="00F962F8" w14:paraId="20C1E186" w14:textId="3BB2144C" w:rsidTr="000F00C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7DDB" w14:textId="77777777" w:rsidR="00AA26B7" w:rsidRPr="005A6458" w:rsidRDefault="00EF6793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AMRC Construction (Robertson)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2569" w14:textId="10F8400E" w:rsidR="00AA26B7" w:rsidRPr="005A6458" w:rsidRDefault="00EF6793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October 2020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725" w14:textId="34E8B4A8" w:rsidR="00AA26B7" w:rsidRPr="005A6458" w:rsidRDefault="00EF6793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</w:t>
            </w:r>
            <w:r w:rsidR="00A73584">
              <w:rPr>
                <w:rFonts w:ascii="Arial" w:hAnsi="Arial" w:cs="Arial"/>
              </w:rPr>
              <w:t>omplete</w:t>
            </w:r>
          </w:p>
        </w:tc>
      </w:tr>
      <w:tr w:rsidR="00F962F8" w14:paraId="7AE6C1EE" w14:textId="506A609F" w:rsidTr="000F00CD">
        <w:trPr>
          <w:trHeight w:val="7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83E2" w14:textId="77777777" w:rsidR="00AA26B7" w:rsidRPr="005A6458" w:rsidRDefault="00EF6793" w:rsidP="002660DD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Updated Marketing Strategy &amp; progression of </w:t>
            </w:r>
          </w:p>
          <w:p w14:paraId="0DD14368" w14:textId="77777777" w:rsidR="00AA26B7" w:rsidRPr="005A6458" w:rsidRDefault="00EF6793" w:rsidP="002660DD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Enquiries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9924" w14:textId="3D81C03C" w:rsidR="00AA26B7" w:rsidRPr="005A6458" w:rsidRDefault="00EF6793" w:rsidP="007B692B">
            <w:pPr>
              <w:ind w:left="-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December 2020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6DC" w14:textId="3BCA8FA2" w:rsidR="00AA26B7" w:rsidRPr="005A6458" w:rsidRDefault="00EF6793" w:rsidP="007B692B">
            <w:pPr>
              <w:ind w:left="-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Enquiry handling ongoing</w:t>
            </w:r>
          </w:p>
        </w:tc>
      </w:tr>
      <w:tr w:rsidR="00F962F8" w14:paraId="296A8645" w14:textId="34876A42" w:rsidTr="000F00CD">
        <w:trPr>
          <w:trHeight w:val="7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CF16" w14:textId="77777777" w:rsidR="00AA26B7" w:rsidRPr="005A6458" w:rsidRDefault="00EF6793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AMF Completion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29C8" w14:textId="1EBE09B7" w:rsidR="00AA26B7" w:rsidRPr="005A6458" w:rsidRDefault="00EF6793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November 2020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2A1" w14:textId="31108319" w:rsidR="00AA26B7" w:rsidRPr="005A6458" w:rsidRDefault="00EF6793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</w:t>
            </w:r>
            <w:r w:rsidR="00A73584">
              <w:rPr>
                <w:rFonts w:ascii="Arial" w:hAnsi="Arial" w:cs="Arial"/>
              </w:rPr>
              <w:t>omplete</w:t>
            </w:r>
          </w:p>
        </w:tc>
      </w:tr>
      <w:tr w:rsidR="00F962F8" w14:paraId="69668B12" w14:textId="1E171D5D" w:rsidTr="000F00CD">
        <w:trPr>
          <w:trHeight w:val="7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E0C7" w14:textId="77777777" w:rsidR="00AA26B7" w:rsidRPr="005A6458" w:rsidRDefault="00EF6793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Earthworks &amp; Drainage site works complete</w:t>
            </w:r>
          </w:p>
          <w:p w14:paraId="079518B9" w14:textId="11466EAD" w:rsidR="00AA26B7" w:rsidRPr="005A6458" w:rsidRDefault="00EF6793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(Due to the impacts of Covid-19, subsequent delays &amp; compounded impact of working through winter, this </w:t>
            </w:r>
            <w:r w:rsidR="00A548D1">
              <w:rPr>
                <w:rFonts w:ascii="Arial" w:hAnsi="Arial" w:cs="Arial"/>
              </w:rPr>
              <w:t>milestone has slipped</w:t>
            </w:r>
            <w:r w:rsidRPr="005A6458">
              <w:rPr>
                <w:rFonts w:ascii="Arial" w:hAnsi="Arial" w:cs="Arial"/>
              </w:rPr>
              <w:t xml:space="preserve">) 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305E" w14:textId="77777777" w:rsidR="00AA26B7" w:rsidRPr="005A6458" w:rsidRDefault="00EF6793" w:rsidP="007B692B">
            <w:pPr>
              <w:ind w:hanging="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Feb 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836" w14:textId="3E551437" w:rsidR="00AA26B7" w:rsidRPr="005A6458" w:rsidRDefault="00EF6793" w:rsidP="007B692B">
            <w:pPr>
              <w:ind w:hanging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 expected </w:t>
            </w:r>
            <w:r w:rsidR="001A4D2C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 xml:space="preserve">tr. </w:t>
            </w:r>
            <w:r w:rsidR="000E0B03">
              <w:rPr>
                <w:rFonts w:ascii="Arial" w:hAnsi="Arial" w:cs="Arial"/>
              </w:rPr>
              <w:t>1</w:t>
            </w:r>
            <w:r w:rsidR="001A4D2C">
              <w:rPr>
                <w:rFonts w:ascii="Arial" w:hAnsi="Arial" w:cs="Arial"/>
              </w:rPr>
              <w:t xml:space="preserve"> </w:t>
            </w:r>
            <w:r w:rsidR="00525A72">
              <w:rPr>
                <w:rFonts w:ascii="Arial" w:hAnsi="Arial" w:cs="Arial"/>
              </w:rPr>
              <w:t>22</w:t>
            </w:r>
            <w:r w:rsidR="000E0B03">
              <w:rPr>
                <w:rFonts w:ascii="Arial" w:hAnsi="Arial" w:cs="Arial"/>
              </w:rPr>
              <w:t>/23</w:t>
            </w:r>
            <w:r>
              <w:rPr>
                <w:rFonts w:ascii="Arial" w:hAnsi="Arial" w:cs="Arial"/>
              </w:rPr>
              <w:t>.</w:t>
            </w:r>
          </w:p>
        </w:tc>
      </w:tr>
      <w:tr w:rsidR="00F962F8" w14:paraId="1EA6BBEA" w14:textId="3AE99EFF" w:rsidTr="000F00CD">
        <w:trPr>
          <w:trHeight w:val="7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45F" w14:textId="669C66BF" w:rsidR="00AA26B7" w:rsidRPr="005A6458" w:rsidRDefault="00EF6793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Research and Development Plots full</w:t>
            </w:r>
            <w:r w:rsidR="00D15F37">
              <w:rPr>
                <w:rFonts w:ascii="Arial" w:hAnsi="Arial" w:cs="Arial"/>
              </w:rPr>
              <w:t>y</w:t>
            </w:r>
            <w:r w:rsidRPr="005A6458">
              <w:rPr>
                <w:rFonts w:ascii="Arial" w:hAnsi="Arial" w:cs="Arial"/>
              </w:rPr>
              <w:t xml:space="preserve"> serviced (excluding power) (As above)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4A64" w14:textId="77777777" w:rsidR="00AA26B7" w:rsidRPr="005A6458" w:rsidRDefault="00EF6793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Feb 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6E63" w14:textId="0152DBCF" w:rsidR="00AA26B7" w:rsidRPr="005A6458" w:rsidRDefault="00EF6793" w:rsidP="00977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73584">
              <w:rPr>
                <w:rFonts w:ascii="Arial" w:hAnsi="Arial" w:cs="Arial"/>
              </w:rPr>
              <w:t>omplete</w:t>
            </w:r>
          </w:p>
        </w:tc>
      </w:tr>
      <w:tr w:rsidR="00F962F8" w14:paraId="11EF8079" w14:textId="2CE885F6" w:rsidTr="000F00CD">
        <w:trPr>
          <w:trHeight w:val="7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D4E6" w14:textId="77777777" w:rsidR="00AA26B7" w:rsidRPr="005A6458" w:rsidRDefault="00EF6793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lastRenderedPageBreak/>
              <w:t xml:space="preserve">Primary sub-station connection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740A" w14:textId="77777777" w:rsidR="00AA26B7" w:rsidRPr="005A6458" w:rsidRDefault="00EF6793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September 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878" w14:textId="63406907" w:rsidR="00AA26B7" w:rsidRPr="005A6458" w:rsidRDefault="00EF6793" w:rsidP="002660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A73584">
              <w:rPr>
                <w:rFonts w:ascii="Arial" w:hAnsi="Arial" w:cs="Arial"/>
              </w:rPr>
              <w:t>n programme</w:t>
            </w:r>
          </w:p>
        </w:tc>
      </w:tr>
      <w:tr w:rsidR="00F962F8" w14:paraId="6488BF12" w14:textId="02B40617" w:rsidTr="000F00CD">
        <w:trPr>
          <w:trHeight w:val="7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5775" w14:textId="77777777" w:rsidR="00AA26B7" w:rsidRPr="005A6458" w:rsidRDefault="00EF6793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Site wide utility infrastructure operational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F180" w14:textId="77777777" w:rsidR="00AA26B7" w:rsidRPr="005A6458" w:rsidRDefault="00EF6793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September 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272" w14:textId="53582A0A" w:rsidR="00AA26B7" w:rsidRPr="005A6458" w:rsidRDefault="00EF6793" w:rsidP="002660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A73584">
              <w:rPr>
                <w:rFonts w:ascii="Arial" w:hAnsi="Arial" w:cs="Arial"/>
              </w:rPr>
              <w:t>n programme</w:t>
            </w:r>
          </w:p>
        </w:tc>
      </w:tr>
      <w:tr w:rsidR="00F962F8" w14:paraId="12469400" w14:textId="54B4020E" w:rsidTr="000F00CD">
        <w:trPr>
          <w:trHeight w:val="7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6E49" w14:textId="5561B1F1" w:rsidR="00AA26B7" w:rsidRPr="005A6458" w:rsidRDefault="00EF6793" w:rsidP="00A73584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Delivery of enquiries (conducted in parallel to infrastructure delivery)</w:t>
            </w:r>
            <w:r w:rsidR="0079677E">
              <w:rPr>
                <w:rFonts w:ascii="Arial" w:hAnsi="Arial" w:cs="Arial"/>
              </w:rPr>
              <w:t xml:space="preserve"> – AMRC completed, pipeline enquiries being actively pursued.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9F64" w14:textId="77777777" w:rsidR="00AA26B7" w:rsidRPr="005A6458" w:rsidRDefault="00EF6793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February 2021 onwards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07C" w14:textId="26D5065C" w:rsidR="00AA26B7" w:rsidRPr="005A6458" w:rsidRDefault="00EF6793" w:rsidP="002660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</w:tbl>
    <w:p w14:paraId="07D9233D" w14:textId="77777777" w:rsidR="00941DE1" w:rsidRDefault="00941DE1" w:rsidP="006D34BE">
      <w:pPr>
        <w:jc w:val="both"/>
        <w:rPr>
          <w:rFonts w:ascii="Arial" w:hAnsi="Arial" w:cs="Arial"/>
          <w:b/>
          <w:u w:val="single"/>
        </w:rPr>
      </w:pPr>
    </w:p>
    <w:p w14:paraId="394C9F95" w14:textId="413E2333" w:rsidR="006D34BE" w:rsidRPr="005A6458" w:rsidRDefault="00EF6793" w:rsidP="006D34BE">
      <w:pPr>
        <w:jc w:val="both"/>
        <w:rPr>
          <w:rFonts w:ascii="Arial" w:hAnsi="Arial" w:cs="Arial"/>
          <w:b/>
          <w:u w:val="single"/>
        </w:rPr>
      </w:pPr>
      <w:r w:rsidRPr="005A6458">
        <w:rPr>
          <w:rFonts w:ascii="Arial" w:hAnsi="Arial" w:cs="Arial"/>
          <w:b/>
          <w:u w:val="single"/>
        </w:rPr>
        <w:t>Risks</w:t>
      </w:r>
    </w:p>
    <w:p w14:paraId="4B92E89D" w14:textId="22821054" w:rsidR="006D34BE" w:rsidRPr="005A6458" w:rsidRDefault="00EF6793" w:rsidP="006D34BE">
      <w:pPr>
        <w:pStyle w:val="NormalNumbered"/>
        <w:rPr>
          <w:rFonts w:cs="Arial"/>
          <w:bCs/>
          <w:sz w:val="22"/>
          <w:szCs w:val="22"/>
        </w:rPr>
      </w:pPr>
      <w:r w:rsidRPr="005A6458">
        <w:rPr>
          <w:rFonts w:cs="Arial"/>
          <w:bCs/>
          <w:sz w:val="22"/>
          <w:szCs w:val="22"/>
        </w:rPr>
        <w:t xml:space="preserve">A Single Portfolio Risk Register for the combined programmes </w:t>
      </w:r>
      <w:r w:rsidR="001D36D3">
        <w:rPr>
          <w:rFonts w:cs="Arial"/>
          <w:bCs/>
          <w:sz w:val="22"/>
          <w:szCs w:val="22"/>
        </w:rPr>
        <w:t xml:space="preserve">is attached to the main report. </w:t>
      </w:r>
    </w:p>
    <w:sectPr w:rsidR="006D34BE" w:rsidRPr="005A6458" w:rsidSect="006D34BE"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485"/>
    <w:multiLevelType w:val="hybridMultilevel"/>
    <w:tmpl w:val="0ECC22FE"/>
    <w:lvl w:ilvl="0" w:tplc="371EE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C0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485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AB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A30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300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CE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AFA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8E6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5163"/>
    <w:multiLevelType w:val="hybridMultilevel"/>
    <w:tmpl w:val="380A4B2E"/>
    <w:lvl w:ilvl="0" w:tplc="D2467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60A7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2847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365B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9483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8E65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B64B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E09B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872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C15E7"/>
    <w:multiLevelType w:val="hybridMultilevel"/>
    <w:tmpl w:val="DEA01E40"/>
    <w:lvl w:ilvl="0" w:tplc="C82E0B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55AE7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065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45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CE7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FC4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CB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46F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AEF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40C9B"/>
    <w:multiLevelType w:val="hybridMultilevel"/>
    <w:tmpl w:val="B532CAB4"/>
    <w:lvl w:ilvl="0" w:tplc="D9146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6B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2E0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EE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ED5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8A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C5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CF0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4C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767FF"/>
    <w:multiLevelType w:val="hybridMultilevel"/>
    <w:tmpl w:val="E2F0B7DA"/>
    <w:lvl w:ilvl="0" w:tplc="A93E2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AA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42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45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AF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4E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03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6F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1C5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78"/>
    <w:rsid w:val="000456F4"/>
    <w:rsid w:val="000475CF"/>
    <w:rsid w:val="0006015F"/>
    <w:rsid w:val="00070479"/>
    <w:rsid w:val="0008592F"/>
    <w:rsid w:val="000875CA"/>
    <w:rsid w:val="000B00B6"/>
    <w:rsid w:val="000C0AA6"/>
    <w:rsid w:val="000C1F41"/>
    <w:rsid w:val="000C4C85"/>
    <w:rsid w:val="000C5A38"/>
    <w:rsid w:val="000D4202"/>
    <w:rsid w:val="000E0B03"/>
    <w:rsid w:val="000E41AC"/>
    <w:rsid w:val="000F00CD"/>
    <w:rsid w:val="0010296A"/>
    <w:rsid w:val="00111EBA"/>
    <w:rsid w:val="00114169"/>
    <w:rsid w:val="0013373A"/>
    <w:rsid w:val="00137765"/>
    <w:rsid w:val="00143C4A"/>
    <w:rsid w:val="001722C1"/>
    <w:rsid w:val="00172DE7"/>
    <w:rsid w:val="00187CCC"/>
    <w:rsid w:val="00191E07"/>
    <w:rsid w:val="00193D5B"/>
    <w:rsid w:val="001A4D2C"/>
    <w:rsid w:val="001A5091"/>
    <w:rsid w:val="001A649D"/>
    <w:rsid w:val="001B5D21"/>
    <w:rsid w:val="001C33AD"/>
    <w:rsid w:val="001C5226"/>
    <w:rsid w:val="001D223F"/>
    <w:rsid w:val="001D3043"/>
    <w:rsid w:val="001D36D3"/>
    <w:rsid w:val="001E0808"/>
    <w:rsid w:val="001E34E9"/>
    <w:rsid w:val="001E6897"/>
    <w:rsid w:val="00200F08"/>
    <w:rsid w:val="00210DEE"/>
    <w:rsid w:val="00223C59"/>
    <w:rsid w:val="00231571"/>
    <w:rsid w:val="00234F95"/>
    <w:rsid w:val="00254796"/>
    <w:rsid w:val="00254FA7"/>
    <w:rsid w:val="002660DD"/>
    <w:rsid w:val="002758F5"/>
    <w:rsid w:val="0027781B"/>
    <w:rsid w:val="00290B2B"/>
    <w:rsid w:val="002A01E6"/>
    <w:rsid w:val="002C340A"/>
    <w:rsid w:val="002E05A3"/>
    <w:rsid w:val="002E16DB"/>
    <w:rsid w:val="002E6D83"/>
    <w:rsid w:val="002F2509"/>
    <w:rsid w:val="00336056"/>
    <w:rsid w:val="003378C7"/>
    <w:rsid w:val="003463B6"/>
    <w:rsid w:val="00346473"/>
    <w:rsid w:val="00371936"/>
    <w:rsid w:val="00396D2B"/>
    <w:rsid w:val="003B44C4"/>
    <w:rsid w:val="003B5FE7"/>
    <w:rsid w:val="003B7D74"/>
    <w:rsid w:val="003C2536"/>
    <w:rsid w:val="003E418A"/>
    <w:rsid w:val="00432F11"/>
    <w:rsid w:val="00451D72"/>
    <w:rsid w:val="004743F2"/>
    <w:rsid w:val="00495520"/>
    <w:rsid w:val="004A0615"/>
    <w:rsid w:val="004A6BA2"/>
    <w:rsid w:val="004A72FF"/>
    <w:rsid w:val="004E2876"/>
    <w:rsid w:val="004E6D56"/>
    <w:rsid w:val="004F5C98"/>
    <w:rsid w:val="00506B1C"/>
    <w:rsid w:val="00511759"/>
    <w:rsid w:val="00525A72"/>
    <w:rsid w:val="00530F1B"/>
    <w:rsid w:val="00573F3C"/>
    <w:rsid w:val="00575844"/>
    <w:rsid w:val="0057638F"/>
    <w:rsid w:val="00577DB2"/>
    <w:rsid w:val="005840AC"/>
    <w:rsid w:val="00584AA7"/>
    <w:rsid w:val="0058582A"/>
    <w:rsid w:val="00593AC2"/>
    <w:rsid w:val="00594BEF"/>
    <w:rsid w:val="00596DED"/>
    <w:rsid w:val="005A6458"/>
    <w:rsid w:val="005C7DC3"/>
    <w:rsid w:val="005D1552"/>
    <w:rsid w:val="005D3839"/>
    <w:rsid w:val="005E6646"/>
    <w:rsid w:val="005F6254"/>
    <w:rsid w:val="00624CEC"/>
    <w:rsid w:val="006251F2"/>
    <w:rsid w:val="006376E5"/>
    <w:rsid w:val="006477F9"/>
    <w:rsid w:val="0066001C"/>
    <w:rsid w:val="006806D9"/>
    <w:rsid w:val="00690994"/>
    <w:rsid w:val="00695DB0"/>
    <w:rsid w:val="006A1529"/>
    <w:rsid w:val="006A5D2F"/>
    <w:rsid w:val="006A61BF"/>
    <w:rsid w:val="006C5B7A"/>
    <w:rsid w:val="006C678D"/>
    <w:rsid w:val="006C730B"/>
    <w:rsid w:val="006D3322"/>
    <w:rsid w:val="006D34BE"/>
    <w:rsid w:val="006F15AB"/>
    <w:rsid w:val="006F3504"/>
    <w:rsid w:val="007129DE"/>
    <w:rsid w:val="007153D5"/>
    <w:rsid w:val="00721F73"/>
    <w:rsid w:val="007407BD"/>
    <w:rsid w:val="00741556"/>
    <w:rsid w:val="00754D85"/>
    <w:rsid w:val="00773911"/>
    <w:rsid w:val="007917B8"/>
    <w:rsid w:val="00792C07"/>
    <w:rsid w:val="0079677E"/>
    <w:rsid w:val="007A0B5F"/>
    <w:rsid w:val="007A26A0"/>
    <w:rsid w:val="007A4F0D"/>
    <w:rsid w:val="007B49E6"/>
    <w:rsid w:val="007B4B1B"/>
    <w:rsid w:val="007B692B"/>
    <w:rsid w:val="007C1A9B"/>
    <w:rsid w:val="007C47EF"/>
    <w:rsid w:val="007C53CF"/>
    <w:rsid w:val="007D129D"/>
    <w:rsid w:val="007D672A"/>
    <w:rsid w:val="008079FA"/>
    <w:rsid w:val="00862397"/>
    <w:rsid w:val="0087243E"/>
    <w:rsid w:val="00895ACD"/>
    <w:rsid w:val="008B43D8"/>
    <w:rsid w:val="008E43F6"/>
    <w:rsid w:val="008F1599"/>
    <w:rsid w:val="008F6380"/>
    <w:rsid w:val="00917A33"/>
    <w:rsid w:val="00921E66"/>
    <w:rsid w:val="0092551B"/>
    <w:rsid w:val="00941DE1"/>
    <w:rsid w:val="009564DC"/>
    <w:rsid w:val="00962F58"/>
    <w:rsid w:val="00967509"/>
    <w:rsid w:val="00977C0D"/>
    <w:rsid w:val="00993983"/>
    <w:rsid w:val="009943DD"/>
    <w:rsid w:val="009A48C4"/>
    <w:rsid w:val="009C73F8"/>
    <w:rsid w:val="009E13A2"/>
    <w:rsid w:val="009F3461"/>
    <w:rsid w:val="00A15041"/>
    <w:rsid w:val="00A26D19"/>
    <w:rsid w:val="00A44BF1"/>
    <w:rsid w:val="00A47C0F"/>
    <w:rsid w:val="00A529B8"/>
    <w:rsid w:val="00A548D1"/>
    <w:rsid w:val="00A601C3"/>
    <w:rsid w:val="00A73584"/>
    <w:rsid w:val="00A7740C"/>
    <w:rsid w:val="00A90C33"/>
    <w:rsid w:val="00A969D8"/>
    <w:rsid w:val="00AA0602"/>
    <w:rsid w:val="00AA1F7A"/>
    <w:rsid w:val="00AA26B7"/>
    <w:rsid w:val="00AC1C19"/>
    <w:rsid w:val="00AD312F"/>
    <w:rsid w:val="00AD3F9A"/>
    <w:rsid w:val="00B12164"/>
    <w:rsid w:val="00B35D65"/>
    <w:rsid w:val="00B51E87"/>
    <w:rsid w:val="00B672A8"/>
    <w:rsid w:val="00B8541D"/>
    <w:rsid w:val="00BA1858"/>
    <w:rsid w:val="00BB08A2"/>
    <w:rsid w:val="00BD6C70"/>
    <w:rsid w:val="00BD6DBB"/>
    <w:rsid w:val="00BE655A"/>
    <w:rsid w:val="00C02892"/>
    <w:rsid w:val="00C31138"/>
    <w:rsid w:val="00C445D8"/>
    <w:rsid w:val="00C8284C"/>
    <w:rsid w:val="00C83746"/>
    <w:rsid w:val="00C941E0"/>
    <w:rsid w:val="00C9619F"/>
    <w:rsid w:val="00C965F3"/>
    <w:rsid w:val="00CB207D"/>
    <w:rsid w:val="00CB3078"/>
    <w:rsid w:val="00CB58D7"/>
    <w:rsid w:val="00CB5F66"/>
    <w:rsid w:val="00CC1704"/>
    <w:rsid w:val="00CD1935"/>
    <w:rsid w:val="00CD762E"/>
    <w:rsid w:val="00CF3559"/>
    <w:rsid w:val="00D00294"/>
    <w:rsid w:val="00D15F37"/>
    <w:rsid w:val="00D417E3"/>
    <w:rsid w:val="00D42F91"/>
    <w:rsid w:val="00D703F8"/>
    <w:rsid w:val="00D80EBA"/>
    <w:rsid w:val="00DB0126"/>
    <w:rsid w:val="00DB5C96"/>
    <w:rsid w:val="00DB683E"/>
    <w:rsid w:val="00DC7B5B"/>
    <w:rsid w:val="00DD423B"/>
    <w:rsid w:val="00DF5284"/>
    <w:rsid w:val="00E01326"/>
    <w:rsid w:val="00E05B25"/>
    <w:rsid w:val="00E06F0D"/>
    <w:rsid w:val="00E11F59"/>
    <w:rsid w:val="00E20B35"/>
    <w:rsid w:val="00E258EE"/>
    <w:rsid w:val="00E2650E"/>
    <w:rsid w:val="00E40DDD"/>
    <w:rsid w:val="00E41E60"/>
    <w:rsid w:val="00E5331F"/>
    <w:rsid w:val="00E575ED"/>
    <w:rsid w:val="00E71B7C"/>
    <w:rsid w:val="00E74765"/>
    <w:rsid w:val="00E869FA"/>
    <w:rsid w:val="00E86B41"/>
    <w:rsid w:val="00E91030"/>
    <w:rsid w:val="00E91389"/>
    <w:rsid w:val="00E95E88"/>
    <w:rsid w:val="00EB4CB5"/>
    <w:rsid w:val="00ED6319"/>
    <w:rsid w:val="00EF6793"/>
    <w:rsid w:val="00EF75DA"/>
    <w:rsid w:val="00EF763B"/>
    <w:rsid w:val="00F00352"/>
    <w:rsid w:val="00F021FD"/>
    <w:rsid w:val="00F5016A"/>
    <w:rsid w:val="00F567FC"/>
    <w:rsid w:val="00F761A4"/>
    <w:rsid w:val="00F915DF"/>
    <w:rsid w:val="00F93EF2"/>
    <w:rsid w:val="00F962F8"/>
    <w:rsid w:val="00FA3938"/>
    <w:rsid w:val="00FA3D2B"/>
    <w:rsid w:val="00FC6BD1"/>
    <w:rsid w:val="00FD1197"/>
    <w:rsid w:val="00FF0D74"/>
    <w:rsid w:val="0122C867"/>
    <w:rsid w:val="0139CAEC"/>
    <w:rsid w:val="014FD293"/>
    <w:rsid w:val="01FB6FF6"/>
    <w:rsid w:val="02EBA2F4"/>
    <w:rsid w:val="03859641"/>
    <w:rsid w:val="06BD3703"/>
    <w:rsid w:val="07595511"/>
    <w:rsid w:val="07D98AA9"/>
    <w:rsid w:val="08648201"/>
    <w:rsid w:val="092ABB1B"/>
    <w:rsid w:val="0941BC1B"/>
    <w:rsid w:val="0A92B6BA"/>
    <w:rsid w:val="0A9F930B"/>
    <w:rsid w:val="0B112B6B"/>
    <w:rsid w:val="0D9140BF"/>
    <w:rsid w:val="0E500BE3"/>
    <w:rsid w:val="0E7E0105"/>
    <w:rsid w:val="107C187A"/>
    <w:rsid w:val="10949782"/>
    <w:rsid w:val="10CE9947"/>
    <w:rsid w:val="139B4E3A"/>
    <w:rsid w:val="14125492"/>
    <w:rsid w:val="14502F05"/>
    <w:rsid w:val="18BC5F9B"/>
    <w:rsid w:val="1995C0A9"/>
    <w:rsid w:val="19D0ACE3"/>
    <w:rsid w:val="1B3D8CFC"/>
    <w:rsid w:val="1C136E24"/>
    <w:rsid w:val="1C3C927D"/>
    <w:rsid w:val="1D70137C"/>
    <w:rsid w:val="1EA42729"/>
    <w:rsid w:val="207CEAEB"/>
    <w:rsid w:val="230474CA"/>
    <w:rsid w:val="23686088"/>
    <w:rsid w:val="23CF7121"/>
    <w:rsid w:val="2473500E"/>
    <w:rsid w:val="24B970A4"/>
    <w:rsid w:val="2768E81C"/>
    <w:rsid w:val="2799E8CA"/>
    <w:rsid w:val="2A48DE28"/>
    <w:rsid w:val="2AC1D126"/>
    <w:rsid w:val="2AD14897"/>
    <w:rsid w:val="2B121885"/>
    <w:rsid w:val="2E7B504D"/>
    <w:rsid w:val="2F8BD252"/>
    <w:rsid w:val="3129A5E1"/>
    <w:rsid w:val="32ECE0B2"/>
    <w:rsid w:val="33E1666A"/>
    <w:rsid w:val="34640DA0"/>
    <w:rsid w:val="3719072C"/>
    <w:rsid w:val="381098DF"/>
    <w:rsid w:val="38EB1E2C"/>
    <w:rsid w:val="3900D272"/>
    <w:rsid w:val="3990E731"/>
    <w:rsid w:val="3A3F9FE8"/>
    <w:rsid w:val="3A48694B"/>
    <w:rsid w:val="3B02DF74"/>
    <w:rsid w:val="3B615F5D"/>
    <w:rsid w:val="3BE46D0A"/>
    <w:rsid w:val="3C387334"/>
    <w:rsid w:val="3D800A0D"/>
    <w:rsid w:val="3EFC2747"/>
    <w:rsid w:val="408357B8"/>
    <w:rsid w:val="40F413D6"/>
    <w:rsid w:val="422C964C"/>
    <w:rsid w:val="42704317"/>
    <w:rsid w:val="43CD59D1"/>
    <w:rsid w:val="43DABFDE"/>
    <w:rsid w:val="442A8F8D"/>
    <w:rsid w:val="4525DFB8"/>
    <w:rsid w:val="47FAFC1F"/>
    <w:rsid w:val="48604777"/>
    <w:rsid w:val="4860F01D"/>
    <w:rsid w:val="48BA6747"/>
    <w:rsid w:val="48E081CD"/>
    <w:rsid w:val="492E44A7"/>
    <w:rsid w:val="49E0DBBE"/>
    <w:rsid w:val="4DD11F4F"/>
    <w:rsid w:val="4E922F6D"/>
    <w:rsid w:val="4E9B9BDB"/>
    <w:rsid w:val="4EAB04A3"/>
    <w:rsid w:val="4EB7C4E8"/>
    <w:rsid w:val="502DFFCE"/>
    <w:rsid w:val="50376C3C"/>
    <w:rsid w:val="50D5BC1F"/>
    <w:rsid w:val="50DDFAC2"/>
    <w:rsid w:val="50F66E93"/>
    <w:rsid w:val="5275A454"/>
    <w:rsid w:val="530405E5"/>
    <w:rsid w:val="544E952A"/>
    <w:rsid w:val="548C2A8E"/>
    <w:rsid w:val="54C056CA"/>
    <w:rsid w:val="565C272B"/>
    <w:rsid w:val="567310EF"/>
    <w:rsid w:val="568418F5"/>
    <w:rsid w:val="57342711"/>
    <w:rsid w:val="5780419F"/>
    <w:rsid w:val="57B85933"/>
    <w:rsid w:val="59CB90CC"/>
    <w:rsid w:val="5B327168"/>
    <w:rsid w:val="5D74C135"/>
    <w:rsid w:val="5EDFE1AA"/>
    <w:rsid w:val="5F29C2EC"/>
    <w:rsid w:val="6000CAD8"/>
    <w:rsid w:val="6022EEF0"/>
    <w:rsid w:val="60383357"/>
    <w:rsid w:val="608E448B"/>
    <w:rsid w:val="6205E94C"/>
    <w:rsid w:val="6364ED37"/>
    <w:rsid w:val="63C0AF30"/>
    <w:rsid w:val="65A15AFC"/>
    <w:rsid w:val="672BF8DC"/>
    <w:rsid w:val="67CA8E7B"/>
    <w:rsid w:val="6C2C6365"/>
    <w:rsid w:val="6D6B3B6F"/>
    <w:rsid w:val="6E03D80E"/>
    <w:rsid w:val="6EE00EB2"/>
    <w:rsid w:val="7191C5E3"/>
    <w:rsid w:val="729C05F5"/>
    <w:rsid w:val="72CDD186"/>
    <w:rsid w:val="746161F5"/>
    <w:rsid w:val="765C3B86"/>
    <w:rsid w:val="773EB674"/>
    <w:rsid w:val="7865E69A"/>
    <w:rsid w:val="7A2E325E"/>
    <w:rsid w:val="7AB98161"/>
    <w:rsid w:val="7B92153F"/>
    <w:rsid w:val="7DDD39A7"/>
    <w:rsid w:val="7E4E250E"/>
    <w:rsid w:val="7EEDFF96"/>
    <w:rsid w:val="7F8AB0C4"/>
    <w:rsid w:val="7FA1D752"/>
    <w:rsid w:val="7FB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0BA9"/>
  <w15:chartTrackingRefBased/>
  <w15:docId w15:val="{2BAC470D-A1EC-4F8B-BCB8-95EA4A2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7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8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E7"/>
  </w:style>
  <w:style w:type="paragraph" w:styleId="Footer">
    <w:name w:val="footer"/>
    <w:basedOn w:val="Normal"/>
    <w:link w:val="Foot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E7"/>
  </w:style>
  <w:style w:type="paragraph" w:styleId="NoSpacing">
    <w:name w:val="No Spacing"/>
    <w:uiPriority w:val="1"/>
    <w:qFormat/>
    <w:rsid w:val="00A47C0F"/>
    <w:pPr>
      <w:spacing w:after="0" w:line="240" w:lineRule="auto"/>
    </w:pPr>
  </w:style>
  <w:style w:type="paragraph" w:customStyle="1" w:styleId="NormalNumbered">
    <w:name w:val="Normal Numbered"/>
    <w:basedOn w:val="Normal"/>
    <w:qFormat/>
    <w:rsid w:val="006D34BE"/>
    <w:pPr>
      <w:tabs>
        <w:tab w:val="left" w:pos="709"/>
        <w:tab w:val="num" w:pos="1112"/>
      </w:tabs>
      <w:spacing w:before="120" w:after="240" w:line="264" w:lineRule="auto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5A6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B94DC8557B34A9C265C3FD9A7292C" ma:contentTypeVersion="4" ma:contentTypeDescription="Create a new document." ma:contentTypeScope="" ma:versionID="1e0696a9e18b0c5df984cecfb935e542">
  <xsd:schema xmlns:xsd="http://www.w3.org/2001/XMLSchema" xmlns:xs="http://www.w3.org/2001/XMLSchema" xmlns:p="http://schemas.microsoft.com/office/2006/metadata/properties" xmlns:ns2="fc2f00b4-54f0-42b2-9caa-a82a9c2f6183" targetNamespace="http://schemas.microsoft.com/office/2006/metadata/properties" ma:root="true" ma:fieldsID="cf27cc2e7fa58feb1eb99dab00b009e0" ns2:_="">
    <xsd:import namespace="fc2f00b4-54f0-42b2-9caa-a82a9c2f6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f00b4-54f0-42b2-9caa-a82a9c2f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AE0C-F26A-4F20-90B9-891B71B7A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f00b4-54f0-42b2-9caa-a82a9c2f6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5ECB6-2C6A-4E12-8A09-EDB3A7C33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A3981C-D1FA-4F33-910A-D440F3EF6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97A9F-AF08-44D8-8838-56BDE268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Parkinson, Anne-Marie (LEP)</cp:lastModifiedBy>
  <cp:revision>8</cp:revision>
  <dcterms:created xsi:type="dcterms:W3CDTF">2022-02-11T16:37:00Z</dcterms:created>
  <dcterms:modified xsi:type="dcterms:W3CDTF">2022-03-09T17:40:00Z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0x010100B00B94DC8557B34A9C265C3FD9A7292C</vt:lpwstr>
  </property>
</Properties>
</file>